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2046CE6F" w:rsidR="003E19D7" w:rsidRPr="001B1255" w:rsidRDefault="003E19D7" w:rsidP="003E19D7">
      <w:pPr>
        <w:pStyle w:val="3GPPHeader"/>
        <w:spacing w:after="60"/>
        <w:rPr>
          <w:sz w:val="36"/>
          <w:szCs w:val="32"/>
          <w:lang w:val="en-US"/>
        </w:rPr>
      </w:pPr>
      <w:r w:rsidRPr="001B1255">
        <w:rPr>
          <w:lang w:val="en-US"/>
        </w:rPr>
        <w:t>3GPP TSG-RAN WG2</w:t>
      </w:r>
      <w:r w:rsidR="00DC0298" w:rsidRPr="001B1255">
        <w:rPr>
          <w:noProof/>
          <w:lang w:val="en-US"/>
        </w:rPr>
        <w:t xml:space="preserve"> </w:t>
      </w:r>
      <w:r w:rsidR="0051743E" w:rsidRPr="001B1255">
        <w:rPr>
          <w:noProof/>
          <w:lang w:val="en-US"/>
        </w:rPr>
        <w:t>#10</w:t>
      </w:r>
      <w:r w:rsidR="001B1255">
        <w:rPr>
          <w:noProof/>
          <w:lang w:val="en-US"/>
        </w:rPr>
        <w:t>5</w:t>
      </w:r>
      <w:r w:rsidR="006E5E5E">
        <w:rPr>
          <w:noProof/>
          <w:lang w:val="en-US"/>
        </w:rPr>
        <w:t>bis</w:t>
      </w:r>
      <w:r w:rsidRPr="001B1255">
        <w:rPr>
          <w:sz w:val="28"/>
          <w:lang w:val="en-US"/>
        </w:rPr>
        <w:tab/>
      </w:r>
      <w:bookmarkStart w:id="0" w:name="_Hlk513016486"/>
      <w:bookmarkStart w:id="1" w:name="_Hlk1063343"/>
      <w:r w:rsidRPr="001B1255">
        <w:rPr>
          <w:sz w:val="28"/>
          <w:szCs w:val="28"/>
          <w:lang w:val="en-US"/>
        </w:rPr>
        <w:t>R2-</w:t>
      </w:r>
      <w:r w:rsidR="007E45D8" w:rsidRPr="001B1255">
        <w:rPr>
          <w:sz w:val="28"/>
          <w:szCs w:val="28"/>
          <w:lang w:val="en-US"/>
        </w:rPr>
        <w:t>1</w:t>
      </w:r>
      <w:bookmarkEnd w:id="0"/>
      <w:bookmarkEnd w:id="1"/>
      <w:r w:rsidR="006E5E5E">
        <w:rPr>
          <w:sz w:val="28"/>
          <w:szCs w:val="28"/>
          <w:lang w:val="en-US"/>
        </w:rPr>
        <w:t>903897</w:t>
      </w:r>
    </w:p>
    <w:p w14:paraId="6B669E58" w14:textId="21D814BE" w:rsidR="003E19D7" w:rsidRPr="001B1255" w:rsidRDefault="006E5E5E" w:rsidP="005450C2">
      <w:pPr>
        <w:pStyle w:val="3GPPHeader"/>
        <w:jc w:val="right"/>
        <w:rPr>
          <w:rFonts w:cs="Arial"/>
          <w:lang w:val="en-US"/>
        </w:rPr>
      </w:pPr>
      <w:r>
        <w:rPr>
          <w:lang w:val="en-US"/>
        </w:rPr>
        <w:t>Xi’an</w:t>
      </w:r>
      <w:r w:rsidR="00726AA7" w:rsidRPr="001B1255">
        <w:rPr>
          <w:lang w:val="en-US"/>
        </w:rPr>
        <w:t xml:space="preserve">, </w:t>
      </w:r>
      <w:r>
        <w:rPr>
          <w:lang w:val="en-US"/>
        </w:rPr>
        <w:t>China</w:t>
      </w:r>
      <w:r w:rsidR="00726AA7" w:rsidRPr="001B1255">
        <w:rPr>
          <w:lang w:val="en-US"/>
        </w:rPr>
        <w:t xml:space="preserve">, </w:t>
      </w:r>
      <w:r>
        <w:rPr>
          <w:lang w:val="en-US"/>
        </w:rPr>
        <w:t>8</w:t>
      </w:r>
      <w:r w:rsidR="0051743E" w:rsidRPr="001B1255">
        <w:rPr>
          <w:vertAlign w:val="superscript"/>
          <w:lang w:val="en-US"/>
        </w:rPr>
        <w:t>th</w:t>
      </w:r>
      <w:r w:rsidR="00726AA7" w:rsidRPr="001B1255">
        <w:rPr>
          <w:lang w:val="en-US"/>
        </w:rPr>
        <w:t xml:space="preserve"> – </w:t>
      </w:r>
      <w:r w:rsidR="00BA4322" w:rsidRPr="001B1255">
        <w:rPr>
          <w:lang w:val="en-US"/>
        </w:rPr>
        <w:t>1</w:t>
      </w:r>
      <w:r>
        <w:rPr>
          <w:lang w:val="en-US"/>
        </w:rPr>
        <w:t>2</w:t>
      </w:r>
      <w:r w:rsidR="001B1255">
        <w:rPr>
          <w:vertAlign w:val="superscript"/>
          <w:lang w:val="en-US"/>
        </w:rPr>
        <w:t>t</w:t>
      </w:r>
      <w:r>
        <w:rPr>
          <w:vertAlign w:val="superscript"/>
          <w:lang w:val="en-US"/>
        </w:rPr>
        <w:t>h</w:t>
      </w:r>
      <w:r w:rsidR="001B1255">
        <w:rPr>
          <w:lang w:val="en-US"/>
        </w:rPr>
        <w:t xml:space="preserve"> </w:t>
      </w:r>
      <w:r>
        <w:rPr>
          <w:lang w:val="en-US"/>
        </w:rPr>
        <w:t>April</w:t>
      </w:r>
      <w:bookmarkStart w:id="2" w:name="_GoBack"/>
      <w:bookmarkEnd w:id="2"/>
      <w:r w:rsidR="00726AA7" w:rsidRPr="001B1255">
        <w:rPr>
          <w:lang w:val="en-US"/>
        </w:rPr>
        <w:t xml:space="preserve"> 201</w:t>
      </w:r>
      <w:r w:rsidR="001B1255">
        <w:rPr>
          <w:lang w:val="en-US"/>
        </w:rPr>
        <w:t>9</w:t>
      </w:r>
      <w:r w:rsidR="00C22AD5" w:rsidRPr="001B1255">
        <w:rPr>
          <w:lang w:val="en-US"/>
        </w:rPr>
        <w:tab/>
      </w:r>
      <w:r w:rsidR="001B1255" w:rsidRPr="001B1255">
        <w:rPr>
          <w:lang w:val="en-US"/>
        </w:rPr>
        <w:t>(</w:t>
      </w:r>
      <w:r w:rsidR="001B1255">
        <w:rPr>
          <w:lang w:val="en-US"/>
        </w:rPr>
        <w:t xml:space="preserve">resubmission of </w:t>
      </w:r>
      <w:r>
        <w:rPr>
          <w:lang w:val="en-US"/>
        </w:rPr>
        <w:t>R2-1901084</w:t>
      </w:r>
      <w:r w:rsidR="001B1255">
        <w:rPr>
          <w:lang w:val="en-US"/>
        </w:rPr>
        <w:t>)</w:t>
      </w:r>
      <w:r w:rsidR="007E45D8" w:rsidRPr="001B1255">
        <w:rPr>
          <w:lang w:val="en-US"/>
        </w:rPr>
        <w:t xml:space="preserve">                 </w:t>
      </w:r>
      <w:r w:rsidR="00AA7717" w:rsidRPr="001B1255">
        <w:rPr>
          <w:lang w:val="en-US"/>
        </w:rPr>
        <w:t xml:space="preserve">                  </w:t>
      </w:r>
    </w:p>
    <w:p w14:paraId="19F901B0" w14:textId="77777777" w:rsidR="00E90E49" w:rsidRPr="001B1255" w:rsidRDefault="00E90E49" w:rsidP="00357380">
      <w:pPr>
        <w:pStyle w:val="3GPPHeader"/>
        <w:rPr>
          <w:lang w:val="en-US"/>
        </w:rPr>
      </w:pPr>
    </w:p>
    <w:p w14:paraId="00C28BFE" w14:textId="736A5D9A" w:rsidR="00BA00E8" w:rsidRPr="001B1255" w:rsidRDefault="00BA00E8" w:rsidP="00BA00E8">
      <w:pPr>
        <w:pStyle w:val="3GPPHeader"/>
        <w:rPr>
          <w:rFonts w:cs="Arial"/>
          <w:sz w:val="22"/>
          <w:lang w:val="en-US"/>
        </w:rPr>
      </w:pPr>
      <w:r w:rsidRPr="001B1255">
        <w:rPr>
          <w:rFonts w:cs="Arial"/>
          <w:sz w:val="22"/>
          <w:lang w:val="en-US"/>
        </w:rPr>
        <w:t>Agenda Item:</w:t>
      </w:r>
      <w:r w:rsidRPr="001B1255">
        <w:rPr>
          <w:rFonts w:cs="Arial"/>
          <w:sz w:val="22"/>
          <w:lang w:val="en-US"/>
        </w:rPr>
        <w:tab/>
      </w:r>
      <w:r w:rsidR="004268ED" w:rsidRPr="001B1255">
        <w:rPr>
          <w:rFonts w:cs="Arial"/>
          <w:sz w:val="22"/>
          <w:lang w:val="en-US"/>
        </w:rPr>
        <w:t>1</w:t>
      </w:r>
      <w:r w:rsidR="00BA4322" w:rsidRPr="001B1255">
        <w:rPr>
          <w:rFonts w:cs="Arial"/>
          <w:sz w:val="22"/>
          <w:lang w:val="en-US"/>
        </w:rPr>
        <w:t>2.3.</w:t>
      </w:r>
      <w:r w:rsidR="005612AB" w:rsidRPr="001B1255">
        <w:rPr>
          <w:rFonts w:cs="Arial"/>
          <w:sz w:val="22"/>
          <w:lang w:val="en-US"/>
        </w:rPr>
        <w:t>4</w:t>
      </w:r>
    </w:p>
    <w:p w14:paraId="42813497" w14:textId="77777777" w:rsidR="00BA00E8" w:rsidRPr="001B1255" w:rsidRDefault="00BA00E8" w:rsidP="00BA00E8">
      <w:pPr>
        <w:pStyle w:val="3GPPHeader"/>
        <w:rPr>
          <w:rFonts w:cs="Arial"/>
          <w:sz w:val="22"/>
          <w:lang w:val="en-US"/>
        </w:rPr>
      </w:pPr>
      <w:r w:rsidRPr="001B1255">
        <w:rPr>
          <w:rFonts w:cs="Arial"/>
          <w:sz w:val="22"/>
          <w:lang w:val="en-US"/>
        </w:rPr>
        <w:t>Source:</w:t>
      </w:r>
      <w:r w:rsidRPr="001B1255">
        <w:rPr>
          <w:rFonts w:cs="Arial"/>
          <w:sz w:val="22"/>
          <w:lang w:val="en-US"/>
        </w:rPr>
        <w:tab/>
        <w:t>Ericsson</w:t>
      </w:r>
    </w:p>
    <w:p w14:paraId="71CB49DD" w14:textId="32F0E7BF" w:rsidR="00BA00E8" w:rsidRPr="001B1255" w:rsidRDefault="00BA00E8" w:rsidP="00BA00E8">
      <w:pPr>
        <w:pStyle w:val="3GPPHeader"/>
        <w:rPr>
          <w:rFonts w:cs="Arial"/>
          <w:sz w:val="22"/>
          <w:lang w:val="en-US"/>
        </w:rPr>
      </w:pPr>
      <w:r w:rsidRPr="001B1255">
        <w:rPr>
          <w:rFonts w:cs="Arial"/>
          <w:sz w:val="22"/>
          <w:lang w:val="en-US"/>
        </w:rPr>
        <w:t>Title:</w:t>
      </w:r>
      <w:r w:rsidRPr="001B1255">
        <w:rPr>
          <w:rFonts w:cs="Arial"/>
          <w:sz w:val="22"/>
          <w:lang w:val="en-US"/>
        </w:rPr>
        <w:tab/>
      </w:r>
      <w:bookmarkStart w:id="3" w:name="_Hlk513016473"/>
      <w:r w:rsidR="0089486E" w:rsidRPr="001B1255">
        <w:rPr>
          <w:rFonts w:cs="Arial"/>
          <w:sz w:val="22"/>
          <w:lang w:val="en-US"/>
        </w:rPr>
        <w:t>Measurement reporting overhead reduction</w:t>
      </w:r>
      <w:r w:rsidR="00BA4322" w:rsidRPr="001B1255">
        <w:rPr>
          <w:rFonts w:cs="Arial"/>
          <w:sz w:val="22"/>
          <w:lang w:val="en-US"/>
        </w:rPr>
        <w:t xml:space="preserve"> </w:t>
      </w:r>
      <w:r w:rsidR="00301623" w:rsidRPr="001B1255">
        <w:rPr>
          <w:rFonts w:cs="Arial"/>
          <w:sz w:val="22"/>
          <w:lang w:val="en-US"/>
        </w:rPr>
        <w:t>based on</w:t>
      </w:r>
      <w:r w:rsidRPr="001B1255">
        <w:rPr>
          <w:rFonts w:cs="Arial"/>
          <w:sz w:val="22"/>
          <w:lang w:val="en-US"/>
        </w:rPr>
        <w:t xml:space="preserve"> </w:t>
      </w:r>
      <w:r w:rsidR="0089486E" w:rsidRPr="001B1255">
        <w:rPr>
          <w:rFonts w:cs="Arial"/>
          <w:sz w:val="22"/>
          <w:lang w:val="en-US"/>
        </w:rPr>
        <w:t xml:space="preserve">enhanced </w:t>
      </w:r>
      <w:r w:rsidRPr="001B1255">
        <w:rPr>
          <w:rFonts w:cs="Arial"/>
          <w:sz w:val="22"/>
          <w:lang w:val="en-US"/>
        </w:rPr>
        <w:t>event</w:t>
      </w:r>
      <w:r w:rsidR="00BA4322" w:rsidRPr="001B1255">
        <w:rPr>
          <w:rFonts w:cs="Arial"/>
          <w:sz w:val="22"/>
          <w:lang w:val="en-US"/>
        </w:rPr>
        <w:t xml:space="preserve"> triggering criterion</w:t>
      </w:r>
      <w:r w:rsidR="0089486E" w:rsidRPr="001B1255">
        <w:rPr>
          <w:rFonts w:cs="Arial"/>
          <w:sz w:val="22"/>
          <w:lang w:val="en-US"/>
        </w:rPr>
        <w:t>s</w:t>
      </w:r>
      <w:r w:rsidRPr="001B1255">
        <w:rPr>
          <w:rFonts w:cs="Arial"/>
          <w:sz w:val="22"/>
          <w:lang w:val="en-US"/>
        </w:rPr>
        <w:t xml:space="preserve"> </w:t>
      </w:r>
      <w:bookmarkEnd w:id="3"/>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3660F44B" w14:textId="0744CE77" w:rsidR="00BA00E8" w:rsidRPr="001B1255" w:rsidRDefault="00BA4322" w:rsidP="00BA4322">
      <w:pPr>
        <w:pStyle w:val="EditorsNote"/>
        <w:ind w:left="0" w:firstLine="0"/>
        <w:rPr>
          <w:rFonts w:cs="Arial"/>
          <w:lang w:val="en-US"/>
        </w:rPr>
      </w:pPr>
      <w:r w:rsidRPr="00D47150">
        <w:rPr>
          <w:rFonts w:cs="Arial"/>
          <w:color w:val="000000" w:themeColor="text1"/>
          <w:lang w:val="en-US"/>
        </w:rPr>
        <w:t xml:space="preserve">In LTE, the UE can be provided with </w:t>
      </w:r>
      <w:r w:rsidR="008D4BEB" w:rsidRPr="00D47150">
        <w:rPr>
          <w:rFonts w:cs="Arial"/>
          <w:color w:val="000000" w:themeColor="text1"/>
          <w:lang w:val="en-US"/>
        </w:rPr>
        <w:t xml:space="preserve">event triggered reporting criterion wherein the reporting configuration indicates what type of event (A1-A6, B1-B2, C1-C2, W1-W3, V1-V2) is configured and also at what criterion shall the UE send the measurement report to the serving cell. </w:t>
      </w:r>
      <w:r w:rsidRPr="00D47150">
        <w:rPr>
          <w:rFonts w:cs="Arial"/>
          <w:color w:val="000000" w:themeColor="text1"/>
          <w:lang w:val="en-US"/>
        </w:rPr>
        <w:t xml:space="preserve"> </w:t>
      </w:r>
      <w:r w:rsidR="008D4BEB" w:rsidRPr="001B1255">
        <w:rPr>
          <w:rFonts w:cs="Arial"/>
          <w:color w:val="000000" w:themeColor="text1"/>
          <w:lang w:val="en-US"/>
        </w:rPr>
        <w:t xml:space="preserve">The measurement quantity to be used for measurement report triggering can be RSRP or RSRQ for A1-A6, </w:t>
      </w:r>
      <w:r w:rsidR="00DF7D5A" w:rsidRPr="001B1255">
        <w:rPr>
          <w:rFonts w:cs="Arial"/>
          <w:color w:val="000000" w:themeColor="text1"/>
          <w:lang w:val="en-US"/>
        </w:rPr>
        <w:t xml:space="preserve">B1-B2, </w:t>
      </w:r>
      <w:r w:rsidR="008D4BEB" w:rsidRPr="001B1255">
        <w:rPr>
          <w:rFonts w:cs="Arial"/>
          <w:color w:val="000000" w:themeColor="text1"/>
          <w:lang w:val="en-US"/>
        </w:rPr>
        <w:t>C1-C2 and V1-V2 events and in addition of SINR for C1-C2 events.</w:t>
      </w:r>
    </w:p>
    <w:p w14:paraId="5575EF95" w14:textId="2F10E81C" w:rsidR="00BA00E8" w:rsidRPr="001B1255" w:rsidRDefault="00642D5F" w:rsidP="00BA00E8">
      <w:pPr>
        <w:rPr>
          <w:lang w:val="en-US" w:eastAsia="en-GB"/>
        </w:rPr>
      </w:pPr>
      <w:r w:rsidRPr="001B1255">
        <w:rPr>
          <w:lang w:val="en-US" w:eastAsia="en-GB"/>
        </w:rPr>
        <w:t>However, when the handover, SCell addition</w:t>
      </w:r>
      <w:r w:rsidR="00F472C4" w:rsidRPr="001B1255">
        <w:rPr>
          <w:lang w:val="en-US" w:eastAsia="en-GB"/>
        </w:rPr>
        <w:t xml:space="preserve"> or</w:t>
      </w:r>
      <w:r w:rsidRPr="001B1255">
        <w:rPr>
          <w:lang w:val="en-US" w:eastAsia="en-GB"/>
        </w:rPr>
        <w:t xml:space="preserve"> load balancing decisions</w:t>
      </w:r>
      <w:r w:rsidR="00F472C4" w:rsidRPr="001B1255">
        <w:rPr>
          <w:lang w:val="en-US" w:eastAsia="en-GB"/>
        </w:rPr>
        <w:t xml:space="preserve"> are taken</w:t>
      </w:r>
      <w:r w:rsidRPr="001B1255">
        <w:rPr>
          <w:lang w:val="en-US" w:eastAsia="en-GB"/>
        </w:rPr>
        <w:t xml:space="preserve"> </w:t>
      </w:r>
      <w:r w:rsidR="00F472C4" w:rsidRPr="001B1255">
        <w:rPr>
          <w:lang w:val="en-US" w:eastAsia="en-GB"/>
        </w:rPr>
        <w:t>with the help of</w:t>
      </w:r>
      <w:r w:rsidRPr="001B1255">
        <w:rPr>
          <w:lang w:val="en-US" w:eastAsia="en-GB"/>
        </w:rPr>
        <w:t xml:space="preserve"> more than one measurement </w:t>
      </w:r>
      <w:r w:rsidR="00F472C4" w:rsidRPr="001B1255">
        <w:rPr>
          <w:lang w:val="en-US" w:eastAsia="en-GB"/>
        </w:rPr>
        <w:t>report, with each of the measurement report having a different trigger quantity,</w:t>
      </w:r>
      <w:r w:rsidR="00DF7D5A" w:rsidRPr="001B1255">
        <w:rPr>
          <w:lang w:val="en-US" w:eastAsia="en-GB"/>
        </w:rPr>
        <w:t xml:space="preserve"> </w:t>
      </w:r>
      <w:r w:rsidRPr="001B1255">
        <w:rPr>
          <w:lang w:val="en-US" w:eastAsia="en-GB"/>
        </w:rPr>
        <w:t xml:space="preserve">the UE is burdened with multiple measurement IDs (measIDs) for each of the triggering quantity. This can be limiting as the UE supports a limited set of measIDs.  </w:t>
      </w:r>
      <w:r w:rsidR="00BA00E8" w:rsidRPr="001B1255">
        <w:rPr>
          <w:lang w:val="en-US" w:eastAsia="en-GB"/>
        </w:rPr>
        <w:t xml:space="preserve">In this contribution, we provide more explanations about the </w:t>
      </w:r>
      <w:r w:rsidRPr="001B1255">
        <w:rPr>
          <w:lang w:val="en-US" w:eastAsia="en-GB"/>
        </w:rPr>
        <w:t xml:space="preserve">scenario and </w:t>
      </w:r>
      <w:r w:rsidR="00BA00E8" w:rsidRPr="001B1255">
        <w:rPr>
          <w:lang w:val="en-US" w:eastAsia="en-GB"/>
        </w:rPr>
        <w:t>benefits of configuring multiple trigger quantities.</w:t>
      </w:r>
    </w:p>
    <w:p w14:paraId="2BA77C49" w14:textId="77777777" w:rsidR="004000E8" w:rsidRDefault="004000E8" w:rsidP="00CE0424">
      <w:pPr>
        <w:pStyle w:val="Heading1"/>
      </w:pPr>
      <w:bookmarkStart w:id="4" w:name="_Ref178064866"/>
      <w:r w:rsidRPr="00CE0424">
        <w:t>Discussion</w:t>
      </w:r>
      <w:bookmarkEnd w:id="4"/>
    </w:p>
    <w:p w14:paraId="7FFC3B63" w14:textId="4E020048" w:rsidR="008B2EA6" w:rsidRDefault="008B2EA6" w:rsidP="008B2EA6">
      <w:pPr>
        <w:pStyle w:val="Heading2"/>
        <w:rPr>
          <w:lang w:val="en-US"/>
        </w:rPr>
      </w:pPr>
      <w:bookmarkStart w:id="5" w:name="_Toc502931795"/>
      <w:bookmarkStart w:id="6" w:name="_Toc502953338"/>
      <w:r>
        <w:rPr>
          <w:lang w:val="en-US"/>
        </w:rPr>
        <w:t xml:space="preserve">Event triggering conditions </w:t>
      </w:r>
    </w:p>
    <w:p w14:paraId="213F2F82" w14:textId="4EB7E5EB" w:rsidR="00F472C4" w:rsidRPr="001B1255" w:rsidRDefault="00BA00E8" w:rsidP="00BA00E8">
      <w:pPr>
        <w:rPr>
          <w:lang w:val="en-US"/>
        </w:rPr>
      </w:pPr>
      <w:r w:rsidRPr="001B1255">
        <w:rPr>
          <w:lang w:val="en-US"/>
        </w:rPr>
        <w:t>In LTE, the network is limited to select one trigger quantity (e.g. RSRP or RSRQ) per event in the reportConfig. For example, an event A1 can be configured to detect the ‘goodness’ of a serving cell. The UE triggers the measurement report based on the event A1 when the serving cell quality becomes better than the threshold,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w:t>
      </w:r>
      <w:r w:rsidR="00F472C4" w:rsidRPr="001B1255">
        <w:rPr>
          <w:lang w:val="en-US"/>
        </w:rPr>
        <w:t xml:space="preserve"> (at least two measurement report</w:t>
      </w:r>
      <w:r w:rsidR="00E64FBC" w:rsidRPr="001B1255">
        <w:rPr>
          <w:lang w:val="en-US"/>
        </w:rPr>
        <w:t>s</w:t>
      </w:r>
      <w:r w:rsidR="00F472C4" w:rsidRPr="001B1255">
        <w:rPr>
          <w:lang w:val="en-US"/>
        </w:rPr>
        <w:t>)</w:t>
      </w:r>
      <w:r w:rsidRPr="001B1255">
        <w:rPr>
          <w:lang w:val="en-US"/>
        </w:rPr>
        <w:t xml:space="preserve"> measurement reports being triggered from the UE</w:t>
      </w:r>
      <w:r w:rsidR="00F472C4" w:rsidRPr="001B1255">
        <w:rPr>
          <w:lang w:val="en-US"/>
        </w:rPr>
        <w:t xml:space="preserve"> before the respective action can be taken by the network</w:t>
      </w:r>
      <w:r w:rsidRPr="001B1255">
        <w:rPr>
          <w:lang w:val="en-US"/>
        </w:rPr>
        <w:t xml:space="preserve">. </w:t>
      </w:r>
    </w:p>
    <w:p w14:paraId="686EBFA1" w14:textId="4EA8E5AF" w:rsidR="00BA00E8" w:rsidRPr="001B1255" w:rsidRDefault="00BA00E8" w:rsidP="00BA00E8">
      <w:pPr>
        <w:rPr>
          <w:b/>
          <w:lang w:val="en-US"/>
        </w:rPr>
      </w:pPr>
      <w:r w:rsidRPr="001B1255">
        <w:rPr>
          <w:lang w:val="en-US"/>
        </w:rPr>
        <w:t>This is further explained in the figure below which shows the measurement report configuration. The serving cell configures the UE with two A2 reporting configurations, one corresponding to the RSRP of the serving cell and the other corresponding to the RSRQ of the serving cell. The UE sends measurement report at time = T</w:t>
      </w:r>
      <w:r w:rsidRPr="001B1255">
        <w:rPr>
          <w:vertAlign w:val="subscript"/>
          <w:lang w:val="en-US"/>
        </w:rPr>
        <w:t>1</w:t>
      </w:r>
      <w:r w:rsidRPr="001B1255">
        <w:rPr>
          <w:lang w:val="en-US"/>
        </w:rPr>
        <w:t xml:space="preserve"> and sends the periodic transmission of the updated report until time=T</w:t>
      </w:r>
      <w:r w:rsidRPr="001B1255">
        <w:rPr>
          <w:vertAlign w:val="subscript"/>
          <w:lang w:val="en-US"/>
        </w:rPr>
        <w:t>2</w:t>
      </w:r>
      <w:r w:rsidRPr="001B1255">
        <w:rPr>
          <w:lang w:val="en-US"/>
        </w:rPr>
        <w:t xml:space="preserve"> as the UE is still in the event entered condition</w:t>
      </w:r>
      <w:r w:rsidR="00F472C4" w:rsidRPr="001B1255">
        <w:rPr>
          <w:lang w:val="en-US"/>
        </w:rPr>
        <w:t xml:space="preserve"> (this periodic transmission of the updated report can be turned off with the help of </w:t>
      </w:r>
      <w:r w:rsidR="00F472C4" w:rsidRPr="001B1255">
        <w:rPr>
          <w:i/>
          <w:lang w:val="en-US"/>
        </w:rPr>
        <w:t>reportInterval</w:t>
      </w:r>
      <w:r w:rsidR="00F472C4" w:rsidRPr="001B1255">
        <w:rPr>
          <w:lang w:val="en-US"/>
        </w:rPr>
        <w:t xml:space="preserve"> setting in the </w:t>
      </w:r>
      <w:r w:rsidR="00F472C4" w:rsidRPr="001B1255">
        <w:rPr>
          <w:i/>
          <w:lang w:val="en-US"/>
        </w:rPr>
        <w:t>reportConfig</w:t>
      </w:r>
      <w:r w:rsidR="00F472C4" w:rsidRPr="001B1255">
        <w:rPr>
          <w:lang w:val="en-US"/>
        </w:rPr>
        <w:t xml:space="preserve"> however</w:t>
      </w:r>
      <w:r w:rsidR="0089486E" w:rsidRPr="001B1255">
        <w:rPr>
          <w:lang w:val="en-US"/>
        </w:rPr>
        <w:t xml:space="preserve"> the UE has to send at least two measurement reports, one at T</w:t>
      </w:r>
      <w:r w:rsidR="0089486E" w:rsidRPr="001B1255">
        <w:rPr>
          <w:vertAlign w:val="subscript"/>
          <w:lang w:val="en-US"/>
        </w:rPr>
        <w:t>1</w:t>
      </w:r>
      <w:r w:rsidR="0089486E" w:rsidRPr="001B1255">
        <w:rPr>
          <w:lang w:val="en-US"/>
        </w:rPr>
        <w:t xml:space="preserve"> and the other at T</w:t>
      </w:r>
      <w:r w:rsidR="0089486E" w:rsidRPr="001B1255">
        <w:rPr>
          <w:vertAlign w:val="subscript"/>
          <w:lang w:val="en-US"/>
        </w:rPr>
        <w:t>2</w:t>
      </w:r>
      <w:r w:rsidR="00F472C4" w:rsidRPr="001B1255">
        <w:rPr>
          <w:lang w:val="en-US"/>
        </w:rPr>
        <w:t>)</w:t>
      </w:r>
      <w:r w:rsidRPr="001B1255">
        <w:rPr>
          <w:lang w:val="en-US"/>
        </w:rPr>
        <w:t>. Only after T</w:t>
      </w:r>
      <w:r w:rsidRPr="001B1255">
        <w:rPr>
          <w:vertAlign w:val="subscript"/>
          <w:lang w:val="en-US"/>
        </w:rPr>
        <w:t>2</w:t>
      </w:r>
      <w:r w:rsidRPr="001B1255">
        <w:rPr>
          <w:lang w:val="en-US"/>
        </w:rPr>
        <w:t xml:space="preserve"> when the UE triggers a new measurement report, because the </w:t>
      </w:r>
      <w:r w:rsidRPr="001B1255">
        <w:rPr>
          <w:lang w:val="en-US"/>
        </w:rPr>
        <w:lastRenderedPageBreak/>
        <w:t>RSRQ based reporting configuration is satisfied, the network will take action. The reports as sent by the UE shown in red colour could have been avoided if the network can configure the UE to send the measurement report only when both RSRP and RSRQ values cross certain thresholds. This additional triggering option will reduce the RRC signalling overhead, improves UE battery consumption via reduced reporting overhead, and leads to less memory and processing overhead at the network side.</w:t>
      </w:r>
      <w:bookmarkEnd w:id="5"/>
      <w:bookmarkEnd w:id="6"/>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1B1255" w:rsidRDefault="00BA00E8" w:rsidP="00BA00E8">
      <w:pPr>
        <w:rPr>
          <w:b/>
          <w:lang w:val="en-US"/>
        </w:rPr>
      </w:pPr>
      <w:r w:rsidRPr="001B1255">
        <w:rPr>
          <w:lang w:val="en-US"/>
        </w:rPr>
        <w:t>In the case of comparing the relative quality to two cells, the network is also limited to choose a given metric per event. Hence, if the network only wants to trigger a handover if both the RSRP and RSRQ of a neighbour cell becomes better than both the RSRP and RS</w:t>
      </w:r>
      <w:r w:rsidR="007053CE" w:rsidRPr="001B1255">
        <w:rPr>
          <w:lang w:val="en-US"/>
        </w:rPr>
        <w:t>R</w:t>
      </w:r>
      <w:r w:rsidRPr="001B1255">
        <w:rPr>
          <w:lang w:val="en-US"/>
        </w:rPr>
        <w:t>Q of the serving cell, the network must configure two events, which may trigger two measurement reports.</w:t>
      </w:r>
    </w:p>
    <w:p w14:paraId="4E9CD5CC" w14:textId="3B71E436" w:rsidR="00BA00E8" w:rsidRPr="001B1255" w:rsidRDefault="00BA00E8" w:rsidP="00BA00E8">
      <w:pPr>
        <w:pStyle w:val="Observation"/>
        <w:rPr>
          <w:lang w:val="en-US"/>
        </w:rPr>
      </w:pPr>
      <w:bookmarkStart w:id="7" w:name="_Toc502953079"/>
      <w:bookmarkStart w:id="8" w:name="_Toc502953144"/>
      <w:bookmarkStart w:id="9" w:name="_Toc502953249"/>
      <w:bookmarkStart w:id="10" w:name="_Toc502953523"/>
      <w:bookmarkStart w:id="11" w:name="_Toc503171537"/>
      <w:bookmarkStart w:id="12" w:name="_Toc525212320"/>
      <w:bookmarkStart w:id="13" w:name="_Toc525280709"/>
      <w:bookmarkStart w:id="14" w:name="_Toc525662045"/>
      <w:bookmarkStart w:id="15" w:name="_Toc525662084"/>
      <w:bookmarkStart w:id="16" w:name="_Toc525733044"/>
      <w:bookmarkStart w:id="17" w:name="_Toc525733588"/>
      <w:bookmarkStart w:id="18" w:name="_Hlk490233163"/>
      <w:r w:rsidRPr="001B1255">
        <w:rPr>
          <w:lang w:val="en-US"/>
        </w:rPr>
        <w:t xml:space="preserve">In LTE, the network is limited to configure a single trigger quantity (RSRP or RSRQ) per </w:t>
      </w:r>
      <w:r w:rsidRPr="001B1255">
        <w:rPr>
          <w:i/>
          <w:lang w:val="en-US"/>
        </w:rPr>
        <w:t xml:space="preserve">reportConfig </w:t>
      </w:r>
      <w:r w:rsidRPr="001B1255">
        <w:rPr>
          <w:lang w:val="en-US"/>
        </w:rPr>
        <w:t>which may lead to more measurement reports being triggered by the UE.</w:t>
      </w:r>
      <w:bookmarkEnd w:id="7"/>
      <w:bookmarkEnd w:id="8"/>
      <w:bookmarkEnd w:id="9"/>
      <w:bookmarkEnd w:id="10"/>
      <w:bookmarkEnd w:id="11"/>
      <w:bookmarkEnd w:id="12"/>
      <w:bookmarkEnd w:id="13"/>
      <w:bookmarkEnd w:id="14"/>
      <w:bookmarkEnd w:id="15"/>
      <w:bookmarkEnd w:id="16"/>
      <w:bookmarkEnd w:id="17"/>
    </w:p>
    <w:p w14:paraId="71C2DCFB" w14:textId="77777777" w:rsidR="00BA00E8" w:rsidRPr="001B1255" w:rsidRDefault="00BA00E8" w:rsidP="00BA00E8">
      <w:pPr>
        <w:pStyle w:val="Observation"/>
        <w:rPr>
          <w:lang w:val="en-US"/>
        </w:rPr>
      </w:pPr>
      <w:bookmarkStart w:id="19" w:name="_Toc502953080"/>
      <w:bookmarkStart w:id="20" w:name="_Toc502953145"/>
      <w:bookmarkStart w:id="21" w:name="_Toc502953250"/>
      <w:bookmarkStart w:id="22" w:name="_Toc502953524"/>
      <w:bookmarkStart w:id="23" w:name="_Toc503171538"/>
      <w:bookmarkStart w:id="24" w:name="_Toc525212321"/>
      <w:bookmarkStart w:id="25" w:name="_Toc525280710"/>
      <w:bookmarkStart w:id="26" w:name="_Toc525662046"/>
      <w:bookmarkStart w:id="27" w:name="_Toc525662085"/>
      <w:bookmarkStart w:id="28" w:name="_Toc525733045"/>
      <w:bookmarkStart w:id="29" w:name="_Toc525733589"/>
      <w:r w:rsidRPr="001B1255">
        <w:rPr>
          <w:lang w:val="en-US"/>
        </w:rPr>
        <w:t>Having multiple triggerQuantity based reporting configurations would enable reducing of the RRC signalling overhead, improvement in UE battery consumption via reduced reporting overhead and less memory and processing overhead at the network side.</w:t>
      </w:r>
      <w:bookmarkEnd w:id="19"/>
      <w:bookmarkEnd w:id="20"/>
      <w:bookmarkEnd w:id="21"/>
      <w:bookmarkEnd w:id="22"/>
      <w:bookmarkEnd w:id="23"/>
      <w:bookmarkEnd w:id="24"/>
      <w:bookmarkEnd w:id="25"/>
      <w:bookmarkEnd w:id="26"/>
      <w:bookmarkEnd w:id="27"/>
      <w:bookmarkEnd w:id="28"/>
      <w:bookmarkEnd w:id="29"/>
    </w:p>
    <w:p w14:paraId="5BA47C46" w14:textId="77777777" w:rsidR="00BA00E8" w:rsidRPr="001B1255" w:rsidRDefault="00BA00E8" w:rsidP="00BA00E8">
      <w:pPr>
        <w:rPr>
          <w:b/>
          <w:lang w:val="en-US"/>
        </w:rPr>
      </w:pPr>
      <w:bookmarkStart w:id="30" w:name="_Toc502931797"/>
      <w:bookmarkStart w:id="31" w:name="_Toc502953340"/>
      <w:bookmarkEnd w:id="18"/>
      <w:r w:rsidRPr="001B1255">
        <w:rPr>
          <w:lang w:val="en-US"/>
        </w:rPr>
        <w:lastRenderedPageBreak/>
        <w:t>A simple way to enable the network to take mobility decisions in an efficient manner is to possibly enable the configuration of multiple trigger quantities per event. For example, the network could configure an event A1 to only be triggered if both RSRP and RSRQ become better than a threshold.</w:t>
      </w:r>
      <w:bookmarkEnd w:id="30"/>
      <w:bookmarkEnd w:id="31"/>
    </w:p>
    <w:p w14:paraId="50406345" w14:textId="3BFFD2EC" w:rsidR="00BA00E8" w:rsidRPr="001B1255" w:rsidRDefault="00BA00E8" w:rsidP="00BA00E8">
      <w:pPr>
        <w:rPr>
          <w:lang w:val="en-US"/>
        </w:rPr>
      </w:pPr>
      <w:bookmarkStart w:id="32" w:name="_Toc502931798"/>
      <w:bookmarkStart w:id="33" w:name="_Toc502953341"/>
      <w:r w:rsidRPr="001B1255">
        <w:rPr>
          <w:lang w:val="en-US"/>
        </w:rPr>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32"/>
      <w:bookmarkEnd w:id="33"/>
    </w:p>
    <w:p w14:paraId="4974F012" w14:textId="7BC3D628" w:rsidR="003B0731" w:rsidRPr="001B1255" w:rsidRDefault="003B0731" w:rsidP="003B0731">
      <w:pPr>
        <w:pStyle w:val="Observation"/>
        <w:rPr>
          <w:lang w:val="en-US"/>
        </w:rPr>
      </w:pPr>
      <w:bookmarkStart w:id="34" w:name="_Toc525212322"/>
      <w:bookmarkStart w:id="35" w:name="_Toc525280711"/>
      <w:bookmarkStart w:id="36" w:name="_Toc525662047"/>
      <w:bookmarkStart w:id="37" w:name="_Toc525662086"/>
      <w:bookmarkStart w:id="38" w:name="_Toc525733046"/>
      <w:bookmarkStart w:id="39" w:name="_Toc525733590"/>
      <w:r w:rsidRPr="001B1255">
        <w:rPr>
          <w:lang w:val="en-US"/>
        </w:rPr>
        <w:t>Addition of new triggering conditions based on the existing measurement quantities will not increase the measurement overhead of the UE.</w:t>
      </w:r>
      <w:bookmarkEnd w:id="34"/>
      <w:bookmarkEnd w:id="35"/>
      <w:bookmarkEnd w:id="36"/>
      <w:bookmarkEnd w:id="37"/>
      <w:bookmarkEnd w:id="38"/>
      <w:bookmarkEnd w:id="39"/>
    </w:p>
    <w:p w14:paraId="6FC487E2" w14:textId="1E43FC88" w:rsidR="00BA00E8" w:rsidRPr="001B1255" w:rsidRDefault="009F3970" w:rsidP="003B0731">
      <w:pPr>
        <w:pStyle w:val="Proposal"/>
        <w:tabs>
          <w:tab w:val="num" w:pos="1701"/>
        </w:tabs>
        <w:rPr>
          <w:rFonts w:cs="Arial"/>
          <w:lang w:val="en-US"/>
        </w:rPr>
      </w:pPr>
      <w:bookmarkStart w:id="40" w:name="_Hlk490232774"/>
      <w:bookmarkStart w:id="41" w:name="_Toc502931799"/>
      <w:bookmarkStart w:id="42" w:name="_Toc502953342"/>
      <w:bookmarkStart w:id="43" w:name="_Toc502953533"/>
      <w:bookmarkStart w:id="44" w:name="_Toc502953577"/>
      <w:bookmarkStart w:id="45" w:name="_Toc502953597"/>
      <w:bookmarkStart w:id="46" w:name="_Toc503171544"/>
      <w:bookmarkStart w:id="47" w:name="_Toc503171548"/>
      <w:bookmarkStart w:id="48" w:name="_Toc525212324"/>
      <w:bookmarkStart w:id="49" w:name="_Toc525282357"/>
      <w:bookmarkStart w:id="50" w:name="_Toc525659434"/>
      <w:bookmarkStart w:id="51" w:name="_Toc525662091"/>
      <w:bookmarkStart w:id="52" w:name="_Toc525733053"/>
      <w:bookmarkStart w:id="53" w:name="_Toc525733599"/>
      <w:bookmarkStart w:id="54" w:name="_Toc527353098"/>
      <w:r w:rsidRPr="001B1255">
        <w:rPr>
          <w:rFonts w:cs="Arial"/>
          <w:lang w:val="en-US"/>
        </w:rPr>
        <w:t>T</w:t>
      </w:r>
      <w:r w:rsidR="00BA00E8" w:rsidRPr="001B1255">
        <w:rPr>
          <w:rFonts w:cs="Arial"/>
          <w:lang w:val="en-US"/>
        </w:rPr>
        <w:t xml:space="preserve">he </w:t>
      </w:r>
      <w:r w:rsidR="003B0731" w:rsidRPr="001B1255">
        <w:rPr>
          <w:rFonts w:cs="Arial"/>
          <w:lang w:val="en-US"/>
        </w:rPr>
        <w:t>event triggering criterion can encompass more than one trigger quantity related triggering condition</w:t>
      </w:r>
      <w:r w:rsidR="00BA00E8" w:rsidRPr="001B1255">
        <w:rPr>
          <w:rFonts w:cs="Arial"/>
          <w:lang w:val="en-US"/>
        </w:rPr>
        <w:t xml:space="preserve"> (e.g. RSRP </w:t>
      </w:r>
      <w:r w:rsidR="003B0731" w:rsidRPr="001B1255">
        <w:rPr>
          <w:rFonts w:cs="Arial"/>
          <w:lang w:val="en-US"/>
        </w:rPr>
        <w:t>and</w:t>
      </w:r>
      <w:r w:rsidR="00BA00E8" w:rsidRPr="001B1255">
        <w:rPr>
          <w:rFonts w:cs="Arial"/>
          <w:lang w:val="en-US"/>
        </w:rPr>
        <w:t xml:space="preserve"> RSRQ) for event</w:t>
      </w:r>
      <w:r w:rsidR="003B0731" w:rsidRPr="001B1255">
        <w:rPr>
          <w:rFonts w:cs="Arial"/>
          <w:lang w:val="en-US"/>
        </w:rPr>
        <w:t xml:space="preserve"> triggered reporting</w:t>
      </w:r>
      <w:bookmarkEnd w:id="40"/>
      <w:r w:rsidR="00BA00E8" w:rsidRPr="001B1255">
        <w:rPr>
          <w:rFonts w:cs="Arial"/>
          <w:lang w:val="en-US"/>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r w:rsidR="00BA00E8" w:rsidRPr="001B1255">
        <w:rPr>
          <w:rFonts w:cs="Arial"/>
          <w:lang w:val="en-US"/>
        </w:rPr>
        <w:t xml:space="preserve"> </w:t>
      </w:r>
    </w:p>
    <w:p w14:paraId="7A64D426" w14:textId="23835041" w:rsidR="0050494F" w:rsidRPr="001B1255" w:rsidRDefault="00BA00E8" w:rsidP="00BA00E8">
      <w:pPr>
        <w:rPr>
          <w:lang w:val="en-US"/>
        </w:rPr>
      </w:pPr>
      <w:bookmarkStart w:id="55" w:name="_Toc502931803"/>
      <w:bookmarkStart w:id="56" w:name="_Toc502953346"/>
      <w:r w:rsidRPr="00D47150">
        <w:rPr>
          <w:lang w:val="en-US"/>
        </w:rPr>
        <w:t>Based on these proposals, with clear usage and benefits, RAN2 should also discuss whether all different combination of RS Type and trigger quantities should be supported and how these should be configured.</w:t>
      </w:r>
      <w:bookmarkEnd w:id="55"/>
      <w:bookmarkEnd w:id="56"/>
      <w:r w:rsidR="00AB6D66" w:rsidRPr="00D47150">
        <w:rPr>
          <w:lang w:val="en-US"/>
        </w:rPr>
        <w:t xml:space="preserve"> </w:t>
      </w:r>
      <w:r w:rsidR="00C8642A" w:rsidRPr="00D47150">
        <w:rPr>
          <w:lang w:val="en-US"/>
        </w:rPr>
        <w:t xml:space="preserve">In order to decide if the coverage of a cell is ‘good’ or ‘bad’, it is beneficial to know both RSRP and RSRQ/SINR as experienced by the UE. </w:t>
      </w:r>
      <w:r w:rsidR="00AB6D66" w:rsidRPr="001B1255">
        <w:rPr>
          <w:lang w:val="en-US"/>
        </w:rPr>
        <w:t xml:space="preserve">As RSRP and RSRQ based measurement report triggering are most </w:t>
      </w:r>
      <w:r w:rsidR="0021716C" w:rsidRPr="001B1255">
        <w:rPr>
          <w:lang w:val="en-US"/>
        </w:rPr>
        <w:t xml:space="preserve">used in practice, it would be beneficial to have triggering criterion based on these two measurement quantities. Also, in cases when the </w:t>
      </w:r>
      <w:r w:rsidR="00ED521A" w:rsidRPr="001B1255">
        <w:rPr>
          <w:lang w:val="en-US"/>
        </w:rPr>
        <w:t xml:space="preserve">RSRQ related measurements </w:t>
      </w:r>
      <w:r w:rsidR="001556CB" w:rsidRPr="001B1255">
        <w:rPr>
          <w:lang w:val="en-US"/>
        </w:rPr>
        <w:t xml:space="preserve">lack clarity due to the impact of load of the neighbor cells, it is beneficial to have RSRP and SINR based trigger quantities. </w:t>
      </w:r>
    </w:p>
    <w:p w14:paraId="70AC9AAC" w14:textId="61D8A590" w:rsidR="001632F7" w:rsidRPr="001B1255" w:rsidRDefault="00C8642A" w:rsidP="00BA00E8">
      <w:pPr>
        <w:pStyle w:val="Observation"/>
        <w:rPr>
          <w:lang w:val="en-US"/>
        </w:rPr>
      </w:pPr>
      <w:bookmarkStart w:id="57" w:name="_Toc525662048"/>
      <w:bookmarkStart w:id="58" w:name="_Toc525662087"/>
      <w:bookmarkStart w:id="59" w:name="_Toc525733047"/>
      <w:bookmarkStart w:id="60" w:name="_Toc525733591"/>
      <w:r w:rsidRPr="001B1255">
        <w:rPr>
          <w:lang w:val="en-US"/>
        </w:rPr>
        <w:t>Knowledge of RSRP and RSRQ/SINR provides an indication as to whether the UE is ‘good’ coverage or ‘poor’ coverage</w:t>
      </w:r>
      <w:r w:rsidR="001632F7" w:rsidRPr="001B1255">
        <w:rPr>
          <w:lang w:val="en-US"/>
        </w:rPr>
        <w:t>.</w:t>
      </w:r>
      <w:bookmarkEnd w:id="57"/>
      <w:bookmarkEnd w:id="58"/>
      <w:bookmarkEnd w:id="59"/>
      <w:bookmarkEnd w:id="60"/>
    </w:p>
    <w:p w14:paraId="619DC9FB" w14:textId="0A695216" w:rsidR="00BA00E8" w:rsidRPr="001B1255" w:rsidRDefault="001556CB" w:rsidP="00BA00E8">
      <w:pPr>
        <w:rPr>
          <w:lang w:val="en-US"/>
        </w:rPr>
      </w:pPr>
      <w:r w:rsidRPr="001B1255">
        <w:rPr>
          <w:lang w:val="en-US"/>
        </w:rPr>
        <w:t xml:space="preserve">Additionally, the lack of enough measID configurations can be overcome by including the RSRP or RSRQ and RSRP or SINR </w:t>
      </w:r>
      <w:r w:rsidR="00997502" w:rsidRPr="001B1255">
        <w:rPr>
          <w:lang w:val="en-US"/>
        </w:rPr>
        <w:t xml:space="preserve">and RSRQ or SINR related triggering criterion </w:t>
      </w:r>
    </w:p>
    <w:p w14:paraId="057ED60F" w14:textId="57AE8420" w:rsidR="00C8642A" w:rsidRPr="001B1255" w:rsidRDefault="00C8642A" w:rsidP="00BA00E8">
      <w:pPr>
        <w:pStyle w:val="Observation"/>
        <w:rPr>
          <w:lang w:val="en-US"/>
        </w:rPr>
      </w:pPr>
      <w:bookmarkStart w:id="61" w:name="_Toc525662049"/>
      <w:bookmarkStart w:id="62" w:name="_Toc525662088"/>
      <w:bookmarkStart w:id="63" w:name="_Toc525733048"/>
      <w:bookmarkStart w:id="64" w:name="_Toc525733592"/>
      <w:r w:rsidRPr="001B1255">
        <w:rPr>
          <w:lang w:val="en-US"/>
        </w:rPr>
        <w:t>Having RSRP or RSRQ</w:t>
      </w:r>
      <w:r w:rsidR="00251557" w:rsidRPr="001B1255">
        <w:rPr>
          <w:lang w:val="en-US"/>
        </w:rPr>
        <w:t xml:space="preserve">, RSRP or SINR and RSRQ or SINR based event triggers will reduce the overhead of providing multiple measIDs </w:t>
      </w:r>
      <w:r w:rsidR="0065612E" w:rsidRPr="001B1255">
        <w:rPr>
          <w:lang w:val="en-US"/>
        </w:rPr>
        <w:t>and thus reduce the total number of measIDs to be handled by the UE</w:t>
      </w:r>
      <w:r w:rsidRPr="001B1255">
        <w:rPr>
          <w:lang w:val="en-US"/>
        </w:rPr>
        <w:t>.</w:t>
      </w:r>
      <w:bookmarkEnd w:id="61"/>
      <w:bookmarkEnd w:id="62"/>
      <w:bookmarkEnd w:id="63"/>
      <w:bookmarkEnd w:id="64"/>
    </w:p>
    <w:p w14:paraId="7D5A9D23" w14:textId="3D51BF39" w:rsidR="00BA00E8" w:rsidRPr="001B1255" w:rsidRDefault="001556CB" w:rsidP="00BA00E8">
      <w:pPr>
        <w:pStyle w:val="Proposal"/>
        <w:rPr>
          <w:rFonts w:cs="Arial"/>
          <w:lang w:val="en-US"/>
        </w:rPr>
      </w:pPr>
      <w:bookmarkStart w:id="65" w:name="_Toc502931804"/>
      <w:bookmarkStart w:id="66" w:name="_Toc502953347"/>
      <w:bookmarkStart w:id="67" w:name="_Toc502953535"/>
      <w:bookmarkStart w:id="68" w:name="_Toc502953579"/>
      <w:bookmarkStart w:id="69" w:name="_Toc502953599"/>
      <w:bookmarkStart w:id="70" w:name="_Toc503171546"/>
      <w:bookmarkStart w:id="71" w:name="_Toc503171550"/>
      <w:bookmarkStart w:id="72" w:name="_Toc525212325"/>
      <w:bookmarkStart w:id="73" w:name="_Toc525282358"/>
      <w:bookmarkStart w:id="74" w:name="_Toc525659435"/>
      <w:bookmarkStart w:id="75" w:name="_Toc525662092"/>
      <w:bookmarkStart w:id="76" w:name="_Toc525733054"/>
      <w:bookmarkStart w:id="77" w:name="_Toc525733600"/>
      <w:bookmarkStart w:id="78" w:name="_Toc527353099"/>
      <w:r w:rsidRPr="001B1255">
        <w:rPr>
          <w:rFonts w:cs="Arial"/>
          <w:lang w:val="en-US"/>
        </w:rPr>
        <w:t>Event trigger criterions based on at least following combination of triggering quantities is supported</w:t>
      </w:r>
      <w:r w:rsidR="00BA00E8" w:rsidRPr="001B1255">
        <w:rPr>
          <w:rFonts w:cs="Arial"/>
          <w:lang w:val="en-US"/>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97650B0" w14:textId="67946831" w:rsidR="001556CB" w:rsidRDefault="001556CB" w:rsidP="001556CB">
      <w:pPr>
        <w:pStyle w:val="Proposal"/>
        <w:numPr>
          <w:ilvl w:val="1"/>
          <w:numId w:val="3"/>
        </w:numPr>
        <w:rPr>
          <w:rFonts w:cs="Arial"/>
        </w:rPr>
      </w:pPr>
      <w:bookmarkStart w:id="79" w:name="_Toc525662093"/>
      <w:bookmarkStart w:id="80" w:name="_Toc525733055"/>
      <w:bookmarkStart w:id="81" w:name="_Toc525733601"/>
      <w:bookmarkStart w:id="82" w:name="_Toc527353100"/>
      <w:r>
        <w:rPr>
          <w:rFonts w:cs="Arial"/>
        </w:rPr>
        <w:t>RSRP and RSRQ</w:t>
      </w:r>
      <w:bookmarkEnd w:id="79"/>
      <w:bookmarkEnd w:id="80"/>
      <w:bookmarkEnd w:id="81"/>
      <w:bookmarkEnd w:id="82"/>
    </w:p>
    <w:p w14:paraId="436DFD9C" w14:textId="2C03E628" w:rsidR="001556CB" w:rsidRDefault="001556CB" w:rsidP="001556CB">
      <w:pPr>
        <w:pStyle w:val="Proposal"/>
        <w:numPr>
          <w:ilvl w:val="1"/>
          <w:numId w:val="3"/>
        </w:numPr>
        <w:rPr>
          <w:rFonts w:cs="Arial"/>
        </w:rPr>
      </w:pPr>
      <w:bookmarkStart w:id="83" w:name="_Toc525662094"/>
      <w:bookmarkStart w:id="84" w:name="_Toc525733056"/>
      <w:bookmarkStart w:id="85" w:name="_Toc525733602"/>
      <w:bookmarkStart w:id="86" w:name="_Toc527353101"/>
      <w:r>
        <w:rPr>
          <w:rFonts w:cs="Arial"/>
        </w:rPr>
        <w:t>RSRP and SINR</w:t>
      </w:r>
      <w:bookmarkEnd w:id="83"/>
      <w:bookmarkEnd w:id="84"/>
      <w:bookmarkEnd w:id="85"/>
      <w:bookmarkEnd w:id="86"/>
    </w:p>
    <w:p w14:paraId="2CA14601" w14:textId="5472E007" w:rsidR="001556CB" w:rsidRDefault="001556CB" w:rsidP="001556CB">
      <w:pPr>
        <w:pStyle w:val="Proposal"/>
        <w:numPr>
          <w:ilvl w:val="1"/>
          <w:numId w:val="3"/>
        </w:numPr>
        <w:rPr>
          <w:rFonts w:cs="Arial"/>
        </w:rPr>
      </w:pPr>
      <w:bookmarkStart w:id="87" w:name="_Toc525662095"/>
      <w:bookmarkStart w:id="88" w:name="_Toc525733057"/>
      <w:bookmarkStart w:id="89" w:name="_Toc525733603"/>
      <w:bookmarkStart w:id="90" w:name="_Toc527353102"/>
      <w:r>
        <w:rPr>
          <w:rFonts w:cs="Arial"/>
        </w:rPr>
        <w:t>RSRP or RSRQ</w:t>
      </w:r>
      <w:bookmarkEnd w:id="87"/>
      <w:bookmarkEnd w:id="88"/>
      <w:bookmarkEnd w:id="89"/>
      <w:bookmarkEnd w:id="90"/>
    </w:p>
    <w:p w14:paraId="56094A81" w14:textId="05850930" w:rsidR="001556CB" w:rsidRDefault="001556CB" w:rsidP="001556CB">
      <w:pPr>
        <w:pStyle w:val="Proposal"/>
        <w:numPr>
          <w:ilvl w:val="1"/>
          <w:numId w:val="3"/>
        </w:numPr>
        <w:rPr>
          <w:rFonts w:cs="Arial"/>
        </w:rPr>
      </w:pPr>
      <w:bookmarkStart w:id="91" w:name="_Toc525662096"/>
      <w:bookmarkStart w:id="92" w:name="_Toc525733058"/>
      <w:bookmarkStart w:id="93" w:name="_Toc525733604"/>
      <w:bookmarkStart w:id="94" w:name="_Toc527353103"/>
      <w:r>
        <w:rPr>
          <w:rFonts w:cs="Arial"/>
        </w:rPr>
        <w:t>RSRP or SINR</w:t>
      </w:r>
      <w:bookmarkEnd w:id="91"/>
      <w:bookmarkEnd w:id="92"/>
      <w:bookmarkEnd w:id="93"/>
      <w:bookmarkEnd w:id="94"/>
    </w:p>
    <w:p w14:paraId="5BBE2F02" w14:textId="34598F1E" w:rsidR="00997502" w:rsidRDefault="00997502" w:rsidP="001556CB">
      <w:pPr>
        <w:pStyle w:val="Proposal"/>
        <w:numPr>
          <w:ilvl w:val="1"/>
          <w:numId w:val="3"/>
        </w:numPr>
        <w:rPr>
          <w:rFonts w:cs="Arial"/>
        </w:rPr>
      </w:pPr>
      <w:bookmarkStart w:id="95" w:name="_Toc525662097"/>
      <w:bookmarkStart w:id="96" w:name="_Toc525733059"/>
      <w:bookmarkStart w:id="97" w:name="_Toc525733605"/>
      <w:bookmarkStart w:id="98" w:name="_Toc527353104"/>
      <w:r>
        <w:rPr>
          <w:rFonts w:cs="Arial"/>
        </w:rPr>
        <w:t>RSRQ or SINR</w:t>
      </w:r>
      <w:bookmarkEnd w:id="95"/>
      <w:bookmarkEnd w:id="96"/>
      <w:bookmarkEnd w:id="97"/>
      <w:bookmarkEnd w:id="98"/>
    </w:p>
    <w:p w14:paraId="6AD43BED" w14:textId="74CC2316" w:rsidR="00D04014" w:rsidRPr="001B1255" w:rsidRDefault="00B639E2" w:rsidP="00D04014">
      <w:pPr>
        <w:rPr>
          <w:lang w:val="en-US"/>
        </w:rPr>
      </w:pPr>
      <w:r w:rsidRPr="001B1255">
        <w:rPr>
          <w:lang w:val="en-US"/>
        </w:rPr>
        <w:t xml:space="preserve">Event A1 </w:t>
      </w:r>
      <w:r w:rsidR="00D30F34" w:rsidRPr="001B1255">
        <w:rPr>
          <w:lang w:val="en-US"/>
        </w:rPr>
        <w:t>indicate</w:t>
      </w:r>
      <w:r w:rsidR="00BA45A0" w:rsidRPr="001B1255">
        <w:rPr>
          <w:lang w:val="en-US"/>
        </w:rPr>
        <w:t>s</w:t>
      </w:r>
      <w:r w:rsidR="00D30F34" w:rsidRPr="001B1255">
        <w:rPr>
          <w:lang w:val="en-US"/>
        </w:rPr>
        <w:t xml:space="preserve"> to the network if the UE is </w:t>
      </w:r>
      <w:r w:rsidR="00BA45A0" w:rsidRPr="001B1255">
        <w:rPr>
          <w:lang w:val="en-US"/>
        </w:rPr>
        <w:t xml:space="preserve">in a coverage region better than a threshold and similarly the event A2 indicates to the network if the UE is in a coverage region poorer than a threshold. </w:t>
      </w:r>
      <w:r w:rsidR="00E91B58" w:rsidRPr="001B1255">
        <w:rPr>
          <w:lang w:val="en-US"/>
        </w:rPr>
        <w:t>T</w:t>
      </w:r>
      <w:r w:rsidR="00BA45A0" w:rsidRPr="001B1255">
        <w:rPr>
          <w:lang w:val="en-US"/>
        </w:rPr>
        <w:t xml:space="preserve">o decide whether </w:t>
      </w:r>
      <w:r w:rsidR="0050494F" w:rsidRPr="001B1255">
        <w:rPr>
          <w:lang w:val="en-US"/>
        </w:rPr>
        <w:t>the UEs coverage is ‘good’ or ‘bad’, it is required to know both RSRP and RSRQ/SINR</w:t>
      </w:r>
      <w:r w:rsidR="00BA45A0" w:rsidRPr="001B1255">
        <w:rPr>
          <w:lang w:val="en-US"/>
        </w:rPr>
        <w:t xml:space="preserve"> </w:t>
      </w:r>
      <w:r w:rsidR="0050494F" w:rsidRPr="001B1255">
        <w:rPr>
          <w:lang w:val="en-US"/>
        </w:rPr>
        <w:t xml:space="preserve">values. Therefore, at least A1 and A2 events should support multiple </w:t>
      </w:r>
      <w:r w:rsidR="002D7E90" w:rsidRPr="001B1255">
        <w:rPr>
          <w:lang w:val="en-US"/>
        </w:rPr>
        <w:t xml:space="preserve">measurement </w:t>
      </w:r>
      <w:r w:rsidR="0050494F" w:rsidRPr="001B1255">
        <w:rPr>
          <w:lang w:val="en-US"/>
        </w:rPr>
        <w:t>quantities based triggerin</w:t>
      </w:r>
      <w:r w:rsidR="001632F7" w:rsidRPr="001B1255">
        <w:rPr>
          <w:lang w:val="en-US"/>
        </w:rPr>
        <w:t>g criterion.</w:t>
      </w:r>
      <w:r w:rsidR="00145173" w:rsidRPr="001B1255">
        <w:rPr>
          <w:lang w:val="en-US"/>
        </w:rPr>
        <w:t xml:space="preserve"> </w:t>
      </w:r>
      <w:r w:rsidR="00692484" w:rsidRPr="001B1255">
        <w:rPr>
          <w:lang w:val="en-US"/>
        </w:rPr>
        <w:t>The same can be said about the B1 and B2 even</w:t>
      </w:r>
      <w:r w:rsidR="004D10C0" w:rsidRPr="001B1255">
        <w:rPr>
          <w:lang w:val="en-US"/>
        </w:rPr>
        <w:t>t</w:t>
      </w:r>
      <w:r w:rsidR="00692484" w:rsidRPr="001B1255">
        <w:rPr>
          <w:lang w:val="en-US"/>
        </w:rPr>
        <w:t>s.</w:t>
      </w:r>
    </w:p>
    <w:p w14:paraId="75C6AF6F" w14:textId="510C2F9B" w:rsidR="0065612E" w:rsidRPr="001B1255" w:rsidRDefault="0065612E" w:rsidP="0065612E">
      <w:pPr>
        <w:pStyle w:val="Observation"/>
        <w:rPr>
          <w:lang w:val="en-US"/>
        </w:rPr>
      </w:pPr>
      <w:bookmarkStart w:id="99" w:name="_Toc525662050"/>
      <w:bookmarkStart w:id="100" w:name="_Toc525662089"/>
      <w:bookmarkStart w:id="101" w:name="_Toc525733049"/>
      <w:bookmarkStart w:id="102" w:name="_Toc525733593"/>
      <w:r w:rsidRPr="001B1255">
        <w:rPr>
          <w:lang w:val="en-US"/>
        </w:rPr>
        <w:t xml:space="preserve">Supporting multiple </w:t>
      </w:r>
      <w:r w:rsidR="002D7E90" w:rsidRPr="001B1255">
        <w:rPr>
          <w:lang w:val="en-US"/>
        </w:rPr>
        <w:t xml:space="preserve">measurement </w:t>
      </w:r>
      <w:r w:rsidR="00AA731B" w:rsidRPr="001B1255">
        <w:rPr>
          <w:lang w:val="en-US"/>
        </w:rPr>
        <w:t xml:space="preserve">quantities </w:t>
      </w:r>
      <w:r w:rsidRPr="001B1255">
        <w:rPr>
          <w:lang w:val="en-US"/>
        </w:rPr>
        <w:t xml:space="preserve">based </w:t>
      </w:r>
      <w:r w:rsidR="00AA731B" w:rsidRPr="001B1255">
        <w:rPr>
          <w:lang w:val="en-US"/>
        </w:rPr>
        <w:t>triggering criterion for A1 and A2 events will aid the network to know whether the UE is in ‘good’ or ‘poor’ coverage based on a single measurement report</w:t>
      </w:r>
      <w:r w:rsidRPr="001B1255">
        <w:rPr>
          <w:lang w:val="en-US"/>
        </w:rPr>
        <w:t>.</w:t>
      </w:r>
      <w:bookmarkEnd w:id="99"/>
      <w:bookmarkEnd w:id="100"/>
      <w:bookmarkEnd w:id="101"/>
      <w:bookmarkEnd w:id="102"/>
    </w:p>
    <w:p w14:paraId="72EA7F02" w14:textId="7D9D5A4D" w:rsidR="00AD020A" w:rsidRPr="001B1255" w:rsidRDefault="00365943" w:rsidP="0065612E">
      <w:pPr>
        <w:pStyle w:val="Observation"/>
        <w:rPr>
          <w:lang w:val="en-US"/>
        </w:rPr>
      </w:pPr>
      <w:bookmarkStart w:id="103" w:name="_Toc525662051"/>
      <w:bookmarkStart w:id="104" w:name="_Toc525662090"/>
      <w:bookmarkStart w:id="105" w:name="_Toc525733050"/>
      <w:bookmarkStart w:id="106" w:name="_Toc525733594"/>
      <w:r w:rsidRPr="001B1255">
        <w:rPr>
          <w:lang w:val="en-US"/>
        </w:rPr>
        <w:lastRenderedPageBreak/>
        <w:t xml:space="preserve">By using multiple measurement quantities for triggering in </w:t>
      </w:r>
      <w:r w:rsidR="004D10C0" w:rsidRPr="001B1255">
        <w:rPr>
          <w:lang w:val="en-US"/>
        </w:rPr>
        <w:t>B1 and B2 events</w:t>
      </w:r>
      <w:r w:rsidRPr="001B1255">
        <w:rPr>
          <w:lang w:val="en-US"/>
        </w:rPr>
        <w:t>, the network could select the ‘better’ RAT for serving the UE based on a single measurement report</w:t>
      </w:r>
      <w:bookmarkEnd w:id="103"/>
      <w:bookmarkEnd w:id="104"/>
      <w:r w:rsidR="005F0B7A" w:rsidRPr="001B1255">
        <w:rPr>
          <w:lang w:val="en-US"/>
        </w:rPr>
        <w:t>.</w:t>
      </w:r>
      <w:bookmarkEnd w:id="105"/>
      <w:bookmarkEnd w:id="106"/>
    </w:p>
    <w:p w14:paraId="6B801849" w14:textId="0945AF60" w:rsidR="009E1A55" w:rsidRPr="001B1255" w:rsidRDefault="00831AD8" w:rsidP="00831AD8">
      <w:pPr>
        <w:rPr>
          <w:lang w:val="en-US"/>
        </w:rPr>
      </w:pPr>
      <w:r w:rsidRPr="001B1255">
        <w:rPr>
          <w:lang w:val="en-US"/>
        </w:rPr>
        <w:t xml:space="preserve">Other events like A3 also benefits from having RSRP and RSRQ based measurement report triggering. When there is cell border overlap between </w:t>
      </w:r>
      <w:r w:rsidR="00E40D91" w:rsidRPr="001B1255">
        <w:rPr>
          <w:lang w:val="en-US"/>
        </w:rPr>
        <w:t xml:space="preserve">two cells then RSRP gives a good indication of the cell that </w:t>
      </w:r>
      <w:r w:rsidR="00C45737" w:rsidRPr="001B1255">
        <w:rPr>
          <w:lang w:val="en-US"/>
        </w:rPr>
        <w:t xml:space="preserve">is better suited for </w:t>
      </w:r>
      <w:r w:rsidR="00D85BE1" w:rsidRPr="001B1255">
        <w:rPr>
          <w:lang w:val="en-US"/>
        </w:rPr>
        <w:t xml:space="preserve">serving the UE and when there are multiple cells have an overlapping border, the network might benefit from RSRQ/SINR based report triggering from the UE. In the </w:t>
      </w:r>
      <w:r w:rsidR="00120316" w:rsidRPr="001B1255">
        <w:rPr>
          <w:lang w:val="en-US"/>
        </w:rPr>
        <w:t>case of multiple cell overlapping border locations, RSRP based reporting criterion might result in too late handovers as the amount of interference experienced by the UE is large. Therefore</w:t>
      </w:r>
      <w:r w:rsidR="009E1A55" w:rsidRPr="001B1255">
        <w:rPr>
          <w:lang w:val="en-US"/>
        </w:rPr>
        <w:t>, A3 event also benefits from multiple measurement quantities as triggering quantity.</w:t>
      </w:r>
      <w:r w:rsidR="0002499C" w:rsidRPr="001B1255">
        <w:rPr>
          <w:lang w:val="en-US"/>
        </w:rPr>
        <w:t xml:space="preserve"> </w:t>
      </w:r>
    </w:p>
    <w:p w14:paraId="0B32082F" w14:textId="5165BE08" w:rsidR="00831AD8" w:rsidRPr="001B1255" w:rsidRDefault="00C37B31" w:rsidP="00831AD8">
      <w:pPr>
        <w:pStyle w:val="Observation"/>
        <w:rPr>
          <w:lang w:val="en-US"/>
        </w:rPr>
      </w:pPr>
      <w:bookmarkStart w:id="107" w:name="_Toc525733051"/>
      <w:bookmarkStart w:id="108" w:name="_Toc525733595"/>
      <w:r w:rsidRPr="001B1255">
        <w:rPr>
          <w:lang w:val="en-US"/>
        </w:rPr>
        <w:t>To have</w:t>
      </w:r>
      <w:r w:rsidR="00EF723F" w:rsidRPr="001B1255">
        <w:rPr>
          <w:lang w:val="en-US"/>
        </w:rPr>
        <w:t xml:space="preserve"> </w:t>
      </w:r>
      <w:r w:rsidRPr="001B1255">
        <w:rPr>
          <w:lang w:val="en-US"/>
        </w:rPr>
        <w:t xml:space="preserve">robust handovers in </w:t>
      </w:r>
      <w:r w:rsidR="00EF723F" w:rsidRPr="001B1255">
        <w:rPr>
          <w:lang w:val="en-US"/>
        </w:rPr>
        <w:t xml:space="preserve">border scenarios having </w:t>
      </w:r>
      <w:r w:rsidRPr="001B1255">
        <w:rPr>
          <w:lang w:val="en-US"/>
        </w:rPr>
        <w:t>two-cell overlapping regions and multi-cell overlapping regions, the network</w:t>
      </w:r>
      <w:r w:rsidR="00F75C0F" w:rsidRPr="001B1255">
        <w:rPr>
          <w:lang w:val="en-US"/>
        </w:rPr>
        <w:t xml:space="preserve"> and the UE</w:t>
      </w:r>
      <w:r w:rsidRPr="001B1255">
        <w:rPr>
          <w:lang w:val="en-US"/>
        </w:rPr>
        <w:t xml:space="preserve"> benef</w:t>
      </w:r>
      <w:r w:rsidR="00F75C0F" w:rsidRPr="001B1255">
        <w:rPr>
          <w:lang w:val="en-US"/>
        </w:rPr>
        <w:t>i</w:t>
      </w:r>
      <w:r w:rsidRPr="001B1255">
        <w:rPr>
          <w:lang w:val="en-US"/>
        </w:rPr>
        <w:t xml:space="preserve">ts </w:t>
      </w:r>
      <w:r w:rsidR="00F75C0F" w:rsidRPr="001B1255">
        <w:rPr>
          <w:lang w:val="en-US"/>
        </w:rPr>
        <w:t>from having multiple measurement quantities based A3</w:t>
      </w:r>
      <w:r w:rsidR="004F2C41" w:rsidRPr="001B1255">
        <w:rPr>
          <w:lang w:val="en-US"/>
        </w:rPr>
        <w:t xml:space="preserve"> </w:t>
      </w:r>
      <w:r w:rsidR="00F75C0F" w:rsidRPr="001B1255">
        <w:rPr>
          <w:lang w:val="en-US"/>
        </w:rPr>
        <w:t>event</w:t>
      </w:r>
      <w:r w:rsidR="00EF723F" w:rsidRPr="001B1255">
        <w:rPr>
          <w:lang w:val="en-US"/>
        </w:rPr>
        <w:t>.</w:t>
      </w:r>
      <w:bookmarkEnd w:id="107"/>
      <w:bookmarkEnd w:id="108"/>
    </w:p>
    <w:p w14:paraId="47380FAC" w14:textId="3604894B" w:rsidR="00CD01E1" w:rsidRPr="001B1255" w:rsidRDefault="00CD01E1" w:rsidP="00CD01E1">
      <w:pPr>
        <w:rPr>
          <w:lang w:val="en-US"/>
        </w:rPr>
      </w:pPr>
      <w:r w:rsidRPr="001B1255">
        <w:rPr>
          <w:lang w:val="en-US"/>
        </w:rPr>
        <w:t>For the case of inter-frequency handovers, the network can use either A4 event or A5 event</w:t>
      </w:r>
      <w:r w:rsidR="00C46B8F" w:rsidRPr="001B1255">
        <w:rPr>
          <w:lang w:val="en-US"/>
        </w:rPr>
        <w:t>s</w:t>
      </w:r>
      <w:r w:rsidRPr="001B1255">
        <w:rPr>
          <w:lang w:val="en-US"/>
        </w:rPr>
        <w:t xml:space="preserve">. </w:t>
      </w:r>
      <w:r w:rsidR="001B1436" w:rsidRPr="001B1255">
        <w:rPr>
          <w:lang w:val="en-US"/>
        </w:rPr>
        <w:t>T</w:t>
      </w:r>
      <w:r w:rsidRPr="001B1255">
        <w:rPr>
          <w:lang w:val="en-US"/>
        </w:rPr>
        <w:t>he benefits related to A1 and A2 events</w:t>
      </w:r>
      <w:r w:rsidR="001B1436" w:rsidRPr="001B1255">
        <w:rPr>
          <w:lang w:val="en-US"/>
        </w:rPr>
        <w:t xml:space="preserve"> are also applicable to </w:t>
      </w:r>
      <w:r w:rsidRPr="001B1255">
        <w:rPr>
          <w:lang w:val="en-US"/>
        </w:rPr>
        <w:t xml:space="preserve">A4 event </w:t>
      </w:r>
      <w:r w:rsidR="001B1436" w:rsidRPr="001B1255">
        <w:rPr>
          <w:lang w:val="en-US"/>
        </w:rPr>
        <w:t xml:space="preserve">i.e., it is </w:t>
      </w:r>
      <w:r w:rsidR="00C46B8F" w:rsidRPr="001B1255">
        <w:rPr>
          <w:lang w:val="en-US"/>
        </w:rPr>
        <w:t>good to know when the neighboring cell becomes better than a threshold based on both RSRP and RSRQ</w:t>
      </w:r>
      <w:r w:rsidRPr="001B1255">
        <w:rPr>
          <w:lang w:val="en-US"/>
        </w:rPr>
        <w:t>.</w:t>
      </w:r>
    </w:p>
    <w:p w14:paraId="127D2D6F" w14:textId="47F11BE6" w:rsidR="00C46B8F" w:rsidRPr="001B1255" w:rsidRDefault="00C46B8F" w:rsidP="00C46B8F">
      <w:pPr>
        <w:pStyle w:val="Observation"/>
        <w:rPr>
          <w:lang w:val="en-US"/>
        </w:rPr>
      </w:pPr>
      <w:bookmarkStart w:id="109" w:name="_Toc525733596"/>
      <w:r w:rsidRPr="001B1255">
        <w:rPr>
          <w:lang w:val="en-US"/>
        </w:rPr>
        <w:t xml:space="preserve">Identification of </w:t>
      </w:r>
      <w:r w:rsidR="002856A6" w:rsidRPr="001B1255">
        <w:rPr>
          <w:lang w:val="en-US"/>
        </w:rPr>
        <w:t xml:space="preserve">a better suited inter-frequency neighbor cell can be performed with the help of RSRP and RSRQ </w:t>
      </w:r>
      <w:r w:rsidR="002B283D" w:rsidRPr="001B1255">
        <w:rPr>
          <w:lang w:val="en-US"/>
        </w:rPr>
        <w:t>based A4 event triggering</w:t>
      </w:r>
      <w:r w:rsidRPr="001B1255">
        <w:rPr>
          <w:lang w:val="en-US"/>
        </w:rPr>
        <w:t>.</w:t>
      </w:r>
      <w:bookmarkEnd w:id="109"/>
    </w:p>
    <w:p w14:paraId="6713C66E" w14:textId="78EDC68F" w:rsidR="00C46B8F" w:rsidRPr="001B1255" w:rsidRDefault="002B283D" w:rsidP="00CD01E1">
      <w:pPr>
        <w:rPr>
          <w:lang w:val="en-US"/>
        </w:rPr>
      </w:pPr>
      <w:r w:rsidRPr="001B1255">
        <w:rPr>
          <w:lang w:val="en-US"/>
        </w:rPr>
        <w:t xml:space="preserve">For the relative comparison of measurement values between serving and the inter-frequency neighbor, the benefits captured for A3 event are also applicable for A5 event. </w:t>
      </w:r>
    </w:p>
    <w:p w14:paraId="2BE44FDE" w14:textId="57826C9B" w:rsidR="00ED6462" w:rsidRPr="001B1255" w:rsidRDefault="00ED6462" w:rsidP="00831AD8">
      <w:pPr>
        <w:pStyle w:val="Observation"/>
        <w:rPr>
          <w:lang w:val="en-US"/>
        </w:rPr>
      </w:pPr>
      <w:bookmarkStart w:id="110" w:name="_Toc525733052"/>
      <w:bookmarkStart w:id="111" w:name="_Toc525733597"/>
      <w:r w:rsidRPr="001B1255">
        <w:rPr>
          <w:lang w:val="en-US"/>
        </w:rPr>
        <w:t xml:space="preserve">Usage of multiple measurement quantities for A5 event triggering helps the network to </w:t>
      </w:r>
      <w:r w:rsidR="000441A0" w:rsidRPr="001B1255">
        <w:rPr>
          <w:lang w:val="en-US"/>
        </w:rPr>
        <w:t>take better decision in inter-frequency handover.</w:t>
      </w:r>
      <w:bookmarkEnd w:id="110"/>
      <w:bookmarkEnd w:id="111"/>
    </w:p>
    <w:p w14:paraId="1B12A99B" w14:textId="6F0AB593" w:rsidR="00B35331" w:rsidRPr="001B1255" w:rsidRDefault="007A1084" w:rsidP="007A1084">
      <w:pPr>
        <w:rPr>
          <w:lang w:val="en-US"/>
        </w:rPr>
      </w:pPr>
      <w:r w:rsidRPr="001B1255">
        <w:rPr>
          <w:lang w:val="en-US"/>
        </w:rPr>
        <w:t xml:space="preserve">Lastly, A6 event aids to find the better SCells. This is a relative comparison between the already configured SCell in that frequency and the neighboring cell. By using multiple measurement quantities for the decision making, the network can </w:t>
      </w:r>
      <w:r w:rsidR="00B35331" w:rsidRPr="001B1255">
        <w:rPr>
          <w:lang w:val="en-US"/>
        </w:rPr>
        <w:t>benefit from obtaining a single measurement report from the UE in that frequency to take SCell change related actions.</w:t>
      </w:r>
    </w:p>
    <w:p w14:paraId="418D5458" w14:textId="0FDDC216" w:rsidR="007A1084" w:rsidRPr="001B1255" w:rsidRDefault="00B35331" w:rsidP="007A1084">
      <w:pPr>
        <w:pStyle w:val="Observation"/>
        <w:rPr>
          <w:lang w:val="en-US"/>
        </w:rPr>
      </w:pPr>
      <w:r w:rsidRPr="001B1255">
        <w:rPr>
          <w:lang w:val="en-US"/>
        </w:rPr>
        <w:t xml:space="preserve"> </w:t>
      </w:r>
      <w:bookmarkStart w:id="112" w:name="_Toc525733598"/>
      <w:r w:rsidRPr="001B1255">
        <w:rPr>
          <w:lang w:val="en-US"/>
        </w:rPr>
        <w:t>SCell change operation can be performed more efficiently when the UE can compare the RSRP and RSRQ related measurement quantities</w:t>
      </w:r>
      <w:r w:rsidR="003F550E" w:rsidRPr="001B1255">
        <w:rPr>
          <w:lang w:val="en-US"/>
        </w:rPr>
        <w:t xml:space="preserve"> before triggering an A6 event</w:t>
      </w:r>
      <w:r w:rsidRPr="001B1255">
        <w:rPr>
          <w:lang w:val="en-US"/>
        </w:rPr>
        <w:t>.</w:t>
      </w:r>
      <w:bookmarkEnd w:id="112"/>
    </w:p>
    <w:p w14:paraId="496B89CD" w14:textId="16FF0280" w:rsidR="003F550E" w:rsidRPr="001B1255" w:rsidRDefault="003F550E" w:rsidP="003F550E">
      <w:pPr>
        <w:rPr>
          <w:lang w:val="en-US"/>
        </w:rPr>
      </w:pPr>
      <w:r w:rsidRPr="001B1255">
        <w:rPr>
          <w:lang w:val="en-US"/>
        </w:rPr>
        <w:t>Based on the above observations, we propose to introduce multiple measurement quantities based triggering criterion is supported at least for A1-A6, B1 and B2 events.</w:t>
      </w:r>
    </w:p>
    <w:p w14:paraId="5C0C11AE" w14:textId="1F6066F3" w:rsidR="008E7D4F" w:rsidRPr="001B1255" w:rsidRDefault="00F07FE0" w:rsidP="00233EC8">
      <w:pPr>
        <w:pStyle w:val="Proposal"/>
        <w:rPr>
          <w:rFonts w:cs="Arial"/>
          <w:lang w:val="en-US"/>
        </w:rPr>
      </w:pPr>
      <w:bookmarkStart w:id="113" w:name="_Toc525212326"/>
      <w:bookmarkStart w:id="114" w:name="_Toc525282359"/>
      <w:bookmarkStart w:id="115" w:name="_Toc525659436"/>
      <w:bookmarkStart w:id="116" w:name="_Toc525662098"/>
      <w:bookmarkStart w:id="117" w:name="_Toc525733060"/>
      <w:bookmarkStart w:id="118" w:name="_Toc525733606"/>
      <w:bookmarkStart w:id="119" w:name="_Toc527353105"/>
      <w:r w:rsidRPr="001B1255">
        <w:rPr>
          <w:rFonts w:cs="Arial"/>
          <w:lang w:val="en-US"/>
        </w:rPr>
        <w:t xml:space="preserve">Multiple </w:t>
      </w:r>
      <w:r w:rsidR="002D7E90" w:rsidRPr="001B1255">
        <w:rPr>
          <w:rFonts w:cs="Arial"/>
          <w:lang w:val="en-US"/>
        </w:rPr>
        <w:t xml:space="preserve">measurement </w:t>
      </w:r>
      <w:r w:rsidRPr="001B1255">
        <w:rPr>
          <w:rFonts w:cs="Arial"/>
          <w:lang w:val="en-US"/>
        </w:rPr>
        <w:t xml:space="preserve">quantities based triggering criterion is </w:t>
      </w:r>
      <w:r w:rsidR="00692484" w:rsidRPr="001B1255">
        <w:rPr>
          <w:rFonts w:cs="Arial"/>
          <w:lang w:val="en-US"/>
        </w:rPr>
        <w:t>supported at least for A1</w:t>
      </w:r>
      <w:r w:rsidR="00813C83" w:rsidRPr="001B1255">
        <w:rPr>
          <w:rFonts w:cs="Arial"/>
          <w:lang w:val="en-US"/>
        </w:rPr>
        <w:t>-A6</w:t>
      </w:r>
      <w:r w:rsidR="004F2C41" w:rsidRPr="001B1255">
        <w:rPr>
          <w:rFonts w:cs="Arial"/>
          <w:lang w:val="en-US"/>
        </w:rPr>
        <w:t xml:space="preserve">, </w:t>
      </w:r>
      <w:r w:rsidR="00365943" w:rsidRPr="001B1255">
        <w:rPr>
          <w:rFonts w:cs="Arial"/>
          <w:lang w:val="en-US"/>
        </w:rPr>
        <w:t>B1 and B2</w:t>
      </w:r>
      <w:r w:rsidR="00692484" w:rsidRPr="001B1255">
        <w:rPr>
          <w:rFonts w:cs="Arial"/>
          <w:lang w:val="en-US"/>
        </w:rPr>
        <w:t xml:space="preserve"> events</w:t>
      </w:r>
      <w:r w:rsidR="003B0731" w:rsidRPr="001B1255">
        <w:rPr>
          <w:rFonts w:cs="Arial"/>
          <w:lang w:val="en-US"/>
        </w:rPr>
        <w:t>.</w:t>
      </w:r>
      <w:bookmarkEnd w:id="113"/>
      <w:bookmarkEnd w:id="114"/>
      <w:bookmarkEnd w:id="115"/>
      <w:bookmarkEnd w:id="116"/>
      <w:bookmarkEnd w:id="117"/>
      <w:bookmarkEnd w:id="118"/>
      <w:bookmarkEnd w:id="119"/>
    </w:p>
    <w:p w14:paraId="2FD8B335" w14:textId="77777777" w:rsidR="00C01F33" w:rsidRPr="00CE0424" w:rsidRDefault="00C01F33" w:rsidP="00CE0424">
      <w:pPr>
        <w:pStyle w:val="Heading1"/>
      </w:pPr>
      <w:r w:rsidRPr="00CE0424">
        <w:t>Conclusion</w:t>
      </w:r>
    </w:p>
    <w:p w14:paraId="4A62DF37" w14:textId="77777777" w:rsidR="003F550E" w:rsidRPr="001B1255" w:rsidRDefault="00BA00E8" w:rsidP="00BA00E8">
      <w:pPr>
        <w:rPr>
          <w:noProof/>
          <w:lang w:val="en-US"/>
        </w:rPr>
      </w:pPr>
      <w:bookmarkStart w:id="120" w:name="_In-sequence_SDU_delivery"/>
      <w:bookmarkStart w:id="121" w:name="_Toc485398802"/>
      <w:bookmarkStart w:id="122" w:name="_Toc485417365"/>
      <w:bookmarkStart w:id="123" w:name="_Toc502931808"/>
      <w:bookmarkStart w:id="124" w:name="_Toc502953351"/>
      <w:bookmarkStart w:id="125" w:name="_Toc502953537"/>
      <w:bookmarkStart w:id="126" w:name="_Toc502953581"/>
      <w:bookmarkEnd w:id="120"/>
      <w:r w:rsidRPr="001B1255">
        <w:rPr>
          <w:lang w:val="en-US"/>
        </w:rPr>
        <w:t>In this contribution, the following observations were captured:</w:t>
      </w:r>
      <w:bookmarkStart w:id="127" w:name="_Toc502931810"/>
      <w:bookmarkStart w:id="128" w:name="_Hlk508794470"/>
      <w:bookmarkEnd w:id="121"/>
      <w:bookmarkEnd w:id="122"/>
      <w:bookmarkEnd w:id="123"/>
      <w:bookmarkEnd w:id="124"/>
      <w:bookmarkEnd w:id="125"/>
      <w:bookmarkEnd w:id="126"/>
      <w:r>
        <w:rPr>
          <w:b/>
          <w:szCs w:val="20"/>
          <w:lang w:val="fi-FI"/>
        </w:rPr>
        <w:fldChar w:fldCharType="begin"/>
      </w:r>
      <w:r w:rsidRPr="001B1255">
        <w:rPr>
          <w:b/>
          <w:lang w:val="en-US"/>
        </w:rPr>
        <w:instrText xml:space="preserve"> TOC \f \n \t "Observation;1" </w:instrText>
      </w:r>
      <w:r>
        <w:rPr>
          <w:b/>
          <w:szCs w:val="20"/>
          <w:lang w:val="fi-FI"/>
        </w:rPr>
        <w:fldChar w:fldCharType="separate"/>
      </w:r>
    </w:p>
    <w:p w14:paraId="4E1A14F9" w14:textId="77777777" w:rsidR="003F550E" w:rsidRDefault="003F550E">
      <w:pPr>
        <w:pStyle w:val="TOC1"/>
        <w:rPr>
          <w:rFonts w:asciiTheme="minorHAnsi" w:eastAsiaTheme="minorEastAsia" w:hAnsiTheme="minorHAnsi" w:cstheme="minorBidi"/>
          <w:b w:val="0"/>
          <w:sz w:val="22"/>
          <w:lang w:val="en-GB" w:eastAsia="en-GB"/>
        </w:rPr>
      </w:pPr>
      <w:r w:rsidRPr="004740BE">
        <w:lastRenderedPageBreak/>
        <w:t>Observation 1</w:t>
      </w:r>
      <w:r>
        <w:rPr>
          <w:rFonts w:asciiTheme="minorHAnsi" w:eastAsiaTheme="minorEastAsia" w:hAnsiTheme="minorHAnsi" w:cstheme="minorBidi"/>
          <w:b w:val="0"/>
          <w:sz w:val="22"/>
          <w:lang w:val="en-GB" w:eastAsia="en-GB"/>
        </w:rPr>
        <w:tab/>
      </w:r>
      <w:r w:rsidRPr="004740BE">
        <w:t xml:space="preserve">In LTE, the network is limited to configure a single trigger quantity (RSRP or RSRQ) per </w:t>
      </w:r>
      <w:r w:rsidRPr="004740BE">
        <w:rPr>
          <w:i/>
        </w:rPr>
        <w:t xml:space="preserve">reportConfig </w:t>
      </w:r>
      <w:r w:rsidRPr="004740BE">
        <w:t>which may lead to more measurement reports being triggered by the UE.</w:t>
      </w:r>
    </w:p>
    <w:p w14:paraId="59A3860C" w14:textId="77777777" w:rsidR="003F550E" w:rsidRDefault="003F550E">
      <w:pPr>
        <w:pStyle w:val="TOC1"/>
        <w:rPr>
          <w:rFonts w:asciiTheme="minorHAnsi" w:eastAsiaTheme="minorEastAsia" w:hAnsiTheme="minorHAnsi" w:cstheme="minorBidi"/>
          <w:b w:val="0"/>
          <w:sz w:val="22"/>
          <w:lang w:val="en-GB" w:eastAsia="en-GB"/>
        </w:rPr>
      </w:pPr>
      <w:r w:rsidRPr="004740BE">
        <w:t>Observation 2</w:t>
      </w:r>
      <w:r>
        <w:rPr>
          <w:rFonts w:asciiTheme="minorHAnsi" w:eastAsiaTheme="minorEastAsia" w:hAnsiTheme="minorHAnsi" w:cstheme="minorBidi"/>
          <w:b w:val="0"/>
          <w:sz w:val="22"/>
          <w:lang w:val="en-GB" w:eastAsia="en-GB"/>
        </w:rPr>
        <w:tab/>
      </w:r>
      <w:r w:rsidRPr="004740BE">
        <w:t>Having multiple triggerQuantity based reporting configurations would enable reducing of the RRC signalling overhead, improvement in UE battery consumption via reduced reporting overhead and less memory and processing overhead at the network side.</w:t>
      </w:r>
    </w:p>
    <w:p w14:paraId="715A6248" w14:textId="77777777" w:rsidR="003F550E" w:rsidRDefault="003F550E">
      <w:pPr>
        <w:pStyle w:val="TOC1"/>
        <w:rPr>
          <w:rFonts w:asciiTheme="minorHAnsi" w:eastAsiaTheme="minorEastAsia" w:hAnsiTheme="minorHAnsi" w:cstheme="minorBidi"/>
          <w:b w:val="0"/>
          <w:sz w:val="22"/>
          <w:lang w:val="en-GB" w:eastAsia="en-GB"/>
        </w:rPr>
      </w:pPr>
      <w:r w:rsidRPr="004740BE">
        <w:t>Observation 3</w:t>
      </w:r>
      <w:r>
        <w:rPr>
          <w:rFonts w:asciiTheme="minorHAnsi" w:eastAsiaTheme="minorEastAsia" w:hAnsiTheme="minorHAnsi" w:cstheme="minorBidi"/>
          <w:b w:val="0"/>
          <w:sz w:val="22"/>
          <w:lang w:val="en-GB" w:eastAsia="en-GB"/>
        </w:rPr>
        <w:tab/>
      </w:r>
      <w:r w:rsidRPr="004740BE">
        <w:t>Addition of new triggering conditions based on the existing measurement quantities will not increase the measurement overhead of the UE.</w:t>
      </w:r>
    </w:p>
    <w:p w14:paraId="337961E3" w14:textId="77777777" w:rsidR="003F550E" w:rsidRDefault="003F550E">
      <w:pPr>
        <w:pStyle w:val="TOC1"/>
        <w:rPr>
          <w:rFonts w:asciiTheme="minorHAnsi" w:eastAsiaTheme="minorEastAsia" w:hAnsiTheme="minorHAnsi" w:cstheme="minorBidi"/>
          <w:b w:val="0"/>
          <w:sz w:val="22"/>
          <w:lang w:val="en-GB" w:eastAsia="en-GB"/>
        </w:rPr>
      </w:pPr>
      <w:r w:rsidRPr="004740BE">
        <w:t>Observation 4</w:t>
      </w:r>
      <w:r>
        <w:rPr>
          <w:rFonts w:asciiTheme="minorHAnsi" w:eastAsiaTheme="minorEastAsia" w:hAnsiTheme="minorHAnsi" w:cstheme="minorBidi"/>
          <w:b w:val="0"/>
          <w:sz w:val="22"/>
          <w:lang w:val="en-GB" w:eastAsia="en-GB"/>
        </w:rPr>
        <w:tab/>
      </w:r>
      <w:r w:rsidRPr="004740BE">
        <w:t>Knowledge of RSRP and RSRQ/SINR provides an indication as to whether the UE is ‘good’ coverage or ‘poor’ coverage.</w:t>
      </w:r>
    </w:p>
    <w:p w14:paraId="52AD1383" w14:textId="77777777" w:rsidR="003F550E" w:rsidRDefault="003F550E">
      <w:pPr>
        <w:pStyle w:val="TOC1"/>
        <w:rPr>
          <w:rFonts w:asciiTheme="minorHAnsi" w:eastAsiaTheme="minorEastAsia" w:hAnsiTheme="minorHAnsi" w:cstheme="minorBidi"/>
          <w:b w:val="0"/>
          <w:sz w:val="22"/>
          <w:lang w:val="en-GB" w:eastAsia="en-GB"/>
        </w:rPr>
      </w:pPr>
      <w:r w:rsidRPr="004740BE">
        <w:t>Observation 5</w:t>
      </w:r>
      <w:r>
        <w:rPr>
          <w:rFonts w:asciiTheme="minorHAnsi" w:eastAsiaTheme="minorEastAsia" w:hAnsiTheme="minorHAnsi" w:cstheme="minorBidi"/>
          <w:b w:val="0"/>
          <w:sz w:val="22"/>
          <w:lang w:val="en-GB" w:eastAsia="en-GB"/>
        </w:rPr>
        <w:tab/>
      </w:r>
      <w:r w:rsidRPr="004740BE">
        <w:t>Having RSRP or RSRQ, RSRP or SINR and RSRQ or SINR based event triggers will reduce the overhead of providing multiple measIDs and thus reduce the total number of measIDs to be handled by the UE.</w:t>
      </w:r>
    </w:p>
    <w:p w14:paraId="54D25E75" w14:textId="77777777" w:rsidR="003F550E" w:rsidRDefault="003F550E">
      <w:pPr>
        <w:pStyle w:val="TOC1"/>
        <w:rPr>
          <w:rFonts w:asciiTheme="minorHAnsi" w:eastAsiaTheme="minorEastAsia" w:hAnsiTheme="minorHAnsi" w:cstheme="minorBidi"/>
          <w:b w:val="0"/>
          <w:sz w:val="22"/>
          <w:lang w:val="en-GB" w:eastAsia="en-GB"/>
        </w:rPr>
      </w:pPr>
      <w:r w:rsidRPr="004740BE">
        <w:t>Observation 6</w:t>
      </w:r>
      <w:r>
        <w:rPr>
          <w:rFonts w:asciiTheme="minorHAnsi" w:eastAsiaTheme="minorEastAsia" w:hAnsiTheme="minorHAnsi" w:cstheme="minorBidi"/>
          <w:b w:val="0"/>
          <w:sz w:val="22"/>
          <w:lang w:val="en-GB" w:eastAsia="en-GB"/>
        </w:rPr>
        <w:tab/>
      </w:r>
      <w:r w:rsidRPr="004740BE">
        <w:t>Supporting multiple measurement quantities based triggering criterion for A1 and A2 events will aid the network to know whether the UE is in ‘good’ or ‘poor’ coverage based on a single measurement report.</w:t>
      </w:r>
    </w:p>
    <w:p w14:paraId="257E8E7D" w14:textId="77777777" w:rsidR="003F550E" w:rsidRDefault="003F550E">
      <w:pPr>
        <w:pStyle w:val="TOC1"/>
        <w:rPr>
          <w:rFonts w:asciiTheme="minorHAnsi" w:eastAsiaTheme="minorEastAsia" w:hAnsiTheme="minorHAnsi" w:cstheme="minorBidi"/>
          <w:b w:val="0"/>
          <w:sz w:val="22"/>
          <w:lang w:val="en-GB" w:eastAsia="en-GB"/>
        </w:rPr>
      </w:pPr>
      <w:r w:rsidRPr="004740BE">
        <w:t>Observation 7</w:t>
      </w:r>
      <w:r>
        <w:rPr>
          <w:rFonts w:asciiTheme="minorHAnsi" w:eastAsiaTheme="minorEastAsia" w:hAnsiTheme="minorHAnsi" w:cstheme="minorBidi"/>
          <w:b w:val="0"/>
          <w:sz w:val="22"/>
          <w:lang w:val="en-GB" w:eastAsia="en-GB"/>
        </w:rPr>
        <w:tab/>
      </w:r>
      <w:r w:rsidRPr="004740BE">
        <w:t>By using multiple measurement quantities for triggering in B1 and B2 events, the network could select the ‘better’ RAT for serving the UE based on a single measurement report.</w:t>
      </w:r>
    </w:p>
    <w:p w14:paraId="032D1F0A" w14:textId="77777777" w:rsidR="003F550E" w:rsidRDefault="003F550E">
      <w:pPr>
        <w:pStyle w:val="TOC1"/>
        <w:rPr>
          <w:rFonts w:asciiTheme="minorHAnsi" w:eastAsiaTheme="minorEastAsia" w:hAnsiTheme="minorHAnsi" w:cstheme="minorBidi"/>
          <w:b w:val="0"/>
          <w:sz w:val="22"/>
          <w:lang w:val="en-GB" w:eastAsia="en-GB"/>
        </w:rPr>
      </w:pPr>
      <w:r w:rsidRPr="004740BE">
        <w:t>Observation 8</w:t>
      </w:r>
      <w:r>
        <w:rPr>
          <w:rFonts w:asciiTheme="minorHAnsi" w:eastAsiaTheme="minorEastAsia" w:hAnsiTheme="minorHAnsi" w:cstheme="minorBidi"/>
          <w:b w:val="0"/>
          <w:sz w:val="22"/>
          <w:lang w:val="en-GB" w:eastAsia="en-GB"/>
        </w:rPr>
        <w:tab/>
      </w:r>
      <w:r w:rsidRPr="004740BE">
        <w:t>To have robust handovers in border scenarios having two-cell overlapping regions and multi-cell overlapping regions, the network and the UE benefits from having multiple measurement quantities based A3 event.</w:t>
      </w:r>
    </w:p>
    <w:p w14:paraId="750C7D00" w14:textId="77777777" w:rsidR="003F550E" w:rsidRDefault="003F550E">
      <w:pPr>
        <w:pStyle w:val="TOC1"/>
        <w:rPr>
          <w:rFonts w:asciiTheme="minorHAnsi" w:eastAsiaTheme="minorEastAsia" w:hAnsiTheme="minorHAnsi" w:cstheme="minorBidi"/>
          <w:b w:val="0"/>
          <w:sz w:val="22"/>
          <w:lang w:val="en-GB" w:eastAsia="en-GB"/>
        </w:rPr>
      </w:pPr>
      <w:r w:rsidRPr="004740BE">
        <w:t>Observation 9</w:t>
      </w:r>
      <w:r>
        <w:rPr>
          <w:rFonts w:asciiTheme="minorHAnsi" w:eastAsiaTheme="minorEastAsia" w:hAnsiTheme="minorHAnsi" w:cstheme="minorBidi"/>
          <w:b w:val="0"/>
          <w:sz w:val="22"/>
          <w:lang w:val="en-GB" w:eastAsia="en-GB"/>
        </w:rPr>
        <w:tab/>
      </w:r>
      <w:r w:rsidRPr="004740BE">
        <w:t>Identification of a better suited inter-frequency neighbor cell can be performed with the help of RSRP and RSRQ based A4 event triggering.</w:t>
      </w:r>
    </w:p>
    <w:p w14:paraId="7B2455F2" w14:textId="77777777" w:rsidR="003F550E" w:rsidRDefault="003F550E">
      <w:pPr>
        <w:pStyle w:val="TOC1"/>
        <w:rPr>
          <w:rFonts w:asciiTheme="minorHAnsi" w:eastAsiaTheme="minorEastAsia" w:hAnsiTheme="minorHAnsi" w:cstheme="minorBidi"/>
          <w:b w:val="0"/>
          <w:sz w:val="22"/>
          <w:lang w:val="en-GB" w:eastAsia="en-GB"/>
        </w:rPr>
      </w:pPr>
      <w:r w:rsidRPr="004740BE">
        <w:t>Observation 10</w:t>
      </w:r>
      <w:r>
        <w:rPr>
          <w:rFonts w:asciiTheme="minorHAnsi" w:eastAsiaTheme="minorEastAsia" w:hAnsiTheme="minorHAnsi" w:cstheme="minorBidi"/>
          <w:b w:val="0"/>
          <w:sz w:val="22"/>
          <w:lang w:val="en-GB" w:eastAsia="en-GB"/>
        </w:rPr>
        <w:tab/>
      </w:r>
      <w:r w:rsidRPr="004740BE">
        <w:t>Usage of multiple measurement quantities for A5 event triggering helps the network to take better decision in inter-frequency handover.</w:t>
      </w:r>
    </w:p>
    <w:p w14:paraId="3C0219E1" w14:textId="77777777" w:rsidR="003F550E" w:rsidRDefault="003F550E">
      <w:pPr>
        <w:pStyle w:val="TOC1"/>
        <w:rPr>
          <w:rFonts w:asciiTheme="minorHAnsi" w:eastAsiaTheme="minorEastAsia" w:hAnsiTheme="minorHAnsi" w:cstheme="minorBidi"/>
          <w:b w:val="0"/>
          <w:sz w:val="22"/>
          <w:lang w:val="en-GB" w:eastAsia="en-GB"/>
        </w:rPr>
      </w:pPr>
      <w:r w:rsidRPr="004740BE">
        <w:t>Observation 11</w:t>
      </w:r>
      <w:r>
        <w:rPr>
          <w:rFonts w:asciiTheme="minorHAnsi" w:eastAsiaTheme="minorEastAsia" w:hAnsiTheme="minorHAnsi" w:cstheme="minorBidi"/>
          <w:b w:val="0"/>
          <w:sz w:val="22"/>
          <w:lang w:val="en-GB" w:eastAsia="en-GB"/>
        </w:rPr>
        <w:tab/>
      </w:r>
      <w:r w:rsidRPr="004740BE">
        <w:t>SCell change operation can be performed more efficiently when the UE can compare the RSRP and RSRQ related measurement quantities before triggering an A6 event.</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0924D71E" w14:textId="77777777" w:rsidR="00907CEF" w:rsidRPr="001B1255" w:rsidRDefault="00BA00E8" w:rsidP="00BA00E8">
      <w:pPr>
        <w:rPr>
          <w:noProof/>
          <w:lang w:val="en-US"/>
        </w:rPr>
      </w:pPr>
      <w:bookmarkStart w:id="129" w:name="_Toc502953352"/>
      <w:bookmarkStart w:id="130" w:name="_Toc502953538"/>
      <w:bookmarkStart w:id="131" w:name="_Toc502953582"/>
      <w:r w:rsidRPr="001B1255">
        <w:rPr>
          <w:lang w:val="en-US"/>
        </w:rPr>
        <w:t>In this contribution, the following proposals were captured:</w:t>
      </w:r>
      <w:bookmarkEnd w:id="127"/>
      <w:bookmarkEnd w:id="129"/>
      <w:bookmarkEnd w:id="130"/>
      <w:bookmarkEnd w:id="131"/>
      <w:r>
        <w:rPr>
          <w:b/>
          <w:sz w:val="20"/>
          <w:szCs w:val="20"/>
          <w:lang w:val="fi-FI"/>
        </w:rPr>
        <w:fldChar w:fldCharType="begin"/>
      </w:r>
      <w:r w:rsidRPr="001B1255">
        <w:rPr>
          <w:b/>
          <w:lang w:val="en-US"/>
        </w:rPr>
        <w:instrText xml:space="preserve"> TOC \f \n \t "Proposal;1" </w:instrText>
      </w:r>
      <w:r>
        <w:rPr>
          <w:b/>
          <w:sz w:val="20"/>
          <w:szCs w:val="20"/>
          <w:lang w:val="fi-FI"/>
        </w:rPr>
        <w:fldChar w:fldCharType="separate"/>
      </w:r>
    </w:p>
    <w:p w14:paraId="655D612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1</w:t>
      </w:r>
      <w:r>
        <w:rPr>
          <w:rFonts w:asciiTheme="minorHAnsi" w:eastAsiaTheme="minorEastAsia" w:hAnsiTheme="minorHAnsi" w:cstheme="minorBidi"/>
          <w:b w:val="0"/>
          <w:sz w:val="22"/>
          <w:lang w:val="en-GB" w:eastAsia="en-GB"/>
        </w:rPr>
        <w:tab/>
      </w:r>
      <w:r w:rsidRPr="00887487">
        <w:rPr>
          <w:rFonts w:cs="Arial"/>
        </w:rPr>
        <w:t>The event triggering criterion can encompass more than one trigger quantity related triggering condition (e.g. RSRP and RSRQ) for event triggered reporting.</w:t>
      </w:r>
    </w:p>
    <w:p w14:paraId="4A650B68"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2</w:t>
      </w:r>
      <w:r>
        <w:rPr>
          <w:rFonts w:asciiTheme="minorHAnsi" w:eastAsiaTheme="minorEastAsia" w:hAnsiTheme="minorHAnsi" w:cstheme="minorBidi"/>
          <w:b w:val="0"/>
          <w:sz w:val="22"/>
          <w:lang w:val="en-GB" w:eastAsia="en-GB"/>
        </w:rPr>
        <w:tab/>
      </w:r>
      <w:r w:rsidRPr="00887487">
        <w:rPr>
          <w:rFonts w:cs="Arial"/>
        </w:rPr>
        <w:t>Event trigger criterions based on at least following combination of triggering quantities is supported.</w:t>
      </w:r>
    </w:p>
    <w:p w14:paraId="21736063"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a.</w:t>
      </w:r>
      <w:r>
        <w:rPr>
          <w:rFonts w:asciiTheme="minorHAnsi" w:eastAsiaTheme="minorEastAsia" w:hAnsiTheme="minorHAnsi" w:cstheme="minorBidi"/>
          <w:b w:val="0"/>
          <w:sz w:val="22"/>
          <w:lang w:val="en-GB" w:eastAsia="en-GB"/>
        </w:rPr>
        <w:tab/>
      </w:r>
      <w:r w:rsidRPr="00887487">
        <w:rPr>
          <w:rFonts w:cs="Arial"/>
        </w:rPr>
        <w:t>RSRP and RSRQ</w:t>
      </w:r>
    </w:p>
    <w:p w14:paraId="62457401"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b.</w:t>
      </w:r>
      <w:r>
        <w:rPr>
          <w:rFonts w:asciiTheme="minorHAnsi" w:eastAsiaTheme="minorEastAsia" w:hAnsiTheme="minorHAnsi" w:cstheme="minorBidi"/>
          <w:b w:val="0"/>
          <w:sz w:val="22"/>
          <w:lang w:val="en-GB" w:eastAsia="en-GB"/>
        </w:rPr>
        <w:tab/>
      </w:r>
      <w:r w:rsidRPr="00887487">
        <w:rPr>
          <w:rFonts w:cs="Arial"/>
        </w:rPr>
        <w:t>RSRP and SINR</w:t>
      </w:r>
    </w:p>
    <w:p w14:paraId="1D80337D"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c.</w:t>
      </w:r>
      <w:r>
        <w:rPr>
          <w:rFonts w:asciiTheme="minorHAnsi" w:eastAsiaTheme="minorEastAsia" w:hAnsiTheme="minorHAnsi" w:cstheme="minorBidi"/>
          <w:b w:val="0"/>
          <w:sz w:val="22"/>
          <w:lang w:val="en-GB" w:eastAsia="en-GB"/>
        </w:rPr>
        <w:tab/>
      </w:r>
      <w:r w:rsidRPr="00887487">
        <w:rPr>
          <w:rFonts w:cs="Arial"/>
        </w:rPr>
        <w:t>RSRP or RSRQ</w:t>
      </w:r>
    </w:p>
    <w:p w14:paraId="5A44162E"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d.</w:t>
      </w:r>
      <w:r>
        <w:rPr>
          <w:rFonts w:asciiTheme="minorHAnsi" w:eastAsiaTheme="minorEastAsia" w:hAnsiTheme="minorHAnsi" w:cstheme="minorBidi"/>
          <w:b w:val="0"/>
          <w:sz w:val="22"/>
          <w:lang w:val="en-GB" w:eastAsia="en-GB"/>
        </w:rPr>
        <w:tab/>
      </w:r>
      <w:r w:rsidRPr="00887487">
        <w:rPr>
          <w:rFonts w:cs="Arial"/>
        </w:rPr>
        <w:t>RSRP or SINR</w:t>
      </w:r>
    </w:p>
    <w:p w14:paraId="0113BF6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e.</w:t>
      </w:r>
      <w:r>
        <w:rPr>
          <w:rFonts w:asciiTheme="minorHAnsi" w:eastAsiaTheme="minorEastAsia" w:hAnsiTheme="minorHAnsi" w:cstheme="minorBidi"/>
          <w:b w:val="0"/>
          <w:sz w:val="22"/>
          <w:lang w:val="en-GB" w:eastAsia="en-GB"/>
        </w:rPr>
        <w:tab/>
      </w:r>
      <w:r w:rsidRPr="00887487">
        <w:rPr>
          <w:rFonts w:cs="Arial"/>
        </w:rPr>
        <w:t>RSRQ or SINR</w:t>
      </w:r>
    </w:p>
    <w:p w14:paraId="0D2E686E" w14:textId="6A98E5F2" w:rsidR="00907CEF" w:rsidRDefault="00907CEF" w:rsidP="00732423">
      <w:pPr>
        <w:pStyle w:val="TOC1"/>
        <w:rPr>
          <w:rFonts w:asciiTheme="minorHAnsi" w:eastAsiaTheme="minorEastAsia" w:hAnsiTheme="minorHAnsi" w:cstheme="minorBidi"/>
          <w:b w:val="0"/>
          <w:sz w:val="22"/>
          <w:lang w:val="en-GB" w:eastAsia="en-GB"/>
        </w:rPr>
      </w:pPr>
      <w:r w:rsidRPr="00887487">
        <w:rPr>
          <w:rFonts w:cs="Arial"/>
        </w:rPr>
        <w:t>Proposal 3</w:t>
      </w:r>
      <w:r>
        <w:rPr>
          <w:rFonts w:asciiTheme="minorHAnsi" w:eastAsiaTheme="minorEastAsia" w:hAnsiTheme="minorHAnsi" w:cstheme="minorBidi"/>
          <w:b w:val="0"/>
          <w:sz w:val="22"/>
          <w:lang w:val="en-GB" w:eastAsia="en-GB"/>
        </w:rPr>
        <w:tab/>
      </w:r>
      <w:r w:rsidRPr="00887487">
        <w:rPr>
          <w:rFonts w:cs="Arial"/>
        </w:rPr>
        <w:t>Multiple measurement quantities based triggering criterion is supported at least for A1-A6, B1 and B2 events.</w:t>
      </w:r>
    </w:p>
    <w:p w14:paraId="6C9E5AD2" w14:textId="16C4C802" w:rsidR="003A7EF3" w:rsidRPr="00BA00E8" w:rsidRDefault="00BA00E8" w:rsidP="003C6DA5">
      <w:pPr>
        <w:pStyle w:val="Heading1"/>
        <w:numPr>
          <w:ilvl w:val="0"/>
          <w:numId w:val="0"/>
        </w:numPr>
      </w:pPr>
      <w:r>
        <w:rPr>
          <w:b/>
          <w:lang w:val="en-US"/>
        </w:rPr>
        <w:fldChar w:fldCharType="end"/>
      </w:r>
      <w:bookmarkEnd w:id="128"/>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E74AE" w14:textId="77777777" w:rsidR="00EF2298" w:rsidRDefault="00EF2298">
      <w:r>
        <w:separator/>
      </w:r>
    </w:p>
  </w:endnote>
  <w:endnote w:type="continuationSeparator" w:id="0">
    <w:p w14:paraId="4CE11DE2" w14:textId="77777777" w:rsidR="00EF2298" w:rsidRDefault="00EF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62854" w14:textId="77777777" w:rsidR="00EF2298" w:rsidRDefault="00EF2298">
      <w:r>
        <w:separator/>
      </w:r>
    </w:p>
  </w:footnote>
  <w:footnote w:type="continuationSeparator" w:id="0">
    <w:p w14:paraId="62DD0813" w14:textId="77777777" w:rsidR="00EF2298" w:rsidRDefault="00EF2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499C"/>
    <w:rsid w:val="0002564D"/>
    <w:rsid w:val="00025ECA"/>
    <w:rsid w:val="000325B8"/>
    <w:rsid w:val="00034C15"/>
    <w:rsid w:val="00036BA1"/>
    <w:rsid w:val="000422E2"/>
    <w:rsid w:val="00042F22"/>
    <w:rsid w:val="000441A0"/>
    <w:rsid w:val="000444EF"/>
    <w:rsid w:val="0005095F"/>
    <w:rsid w:val="00052A07"/>
    <w:rsid w:val="000534E3"/>
    <w:rsid w:val="0005606A"/>
    <w:rsid w:val="00057117"/>
    <w:rsid w:val="000616E7"/>
    <w:rsid w:val="0006487E"/>
    <w:rsid w:val="00065E1A"/>
    <w:rsid w:val="00077E5F"/>
    <w:rsid w:val="0008036A"/>
    <w:rsid w:val="0008070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848"/>
    <w:rsid w:val="000F6DF3"/>
    <w:rsid w:val="001005FF"/>
    <w:rsid w:val="0010234E"/>
    <w:rsid w:val="001062FB"/>
    <w:rsid w:val="001063E6"/>
    <w:rsid w:val="00113CF4"/>
    <w:rsid w:val="001153EA"/>
    <w:rsid w:val="00115643"/>
    <w:rsid w:val="00116765"/>
    <w:rsid w:val="00120316"/>
    <w:rsid w:val="001219F5"/>
    <w:rsid w:val="00121A20"/>
    <w:rsid w:val="0012377F"/>
    <w:rsid w:val="00124314"/>
    <w:rsid w:val="00126B4A"/>
    <w:rsid w:val="00132FD0"/>
    <w:rsid w:val="001344C0"/>
    <w:rsid w:val="001346FA"/>
    <w:rsid w:val="00135252"/>
    <w:rsid w:val="001373C0"/>
    <w:rsid w:val="00137AB5"/>
    <w:rsid w:val="00137F0B"/>
    <w:rsid w:val="00145173"/>
    <w:rsid w:val="00151E23"/>
    <w:rsid w:val="001526E0"/>
    <w:rsid w:val="001551B5"/>
    <w:rsid w:val="001556CB"/>
    <w:rsid w:val="001632F7"/>
    <w:rsid w:val="001659C1"/>
    <w:rsid w:val="00173A8E"/>
    <w:rsid w:val="00175948"/>
    <w:rsid w:val="00177470"/>
    <w:rsid w:val="00177795"/>
    <w:rsid w:val="00180098"/>
    <w:rsid w:val="0018143F"/>
    <w:rsid w:val="00190AC1"/>
    <w:rsid w:val="0019341A"/>
    <w:rsid w:val="00197DF9"/>
    <w:rsid w:val="001A1987"/>
    <w:rsid w:val="001A2564"/>
    <w:rsid w:val="001A6173"/>
    <w:rsid w:val="001A6CBA"/>
    <w:rsid w:val="001B0D97"/>
    <w:rsid w:val="001B1255"/>
    <w:rsid w:val="001B1436"/>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6C"/>
    <w:rsid w:val="00220600"/>
    <w:rsid w:val="002224DB"/>
    <w:rsid w:val="00223FCB"/>
    <w:rsid w:val="002252C3"/>
    <w:rsid w:val="00225C54"/>
    <w:rsid w:val="00230765"/>
    <w:rsid w:val="002319E4"/>
    <w:rsid w:val="00233EC8"/>
    <w:rsid w:val="00235632"/>
    <w:rsid w:val="00235872"/>
    <w:rsid w:val="0023691A"/>
    <w:rsid w:val="00241559"/>
    <w:rsid w:val="002435B3"/>
    <w:rsid w:val="002458EB"/>
    <w:rsid w:val="002500C8"/>
    <w:rsid w:val="00251557"/>
    <w:rsid w:val="00254D6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56A6"/>
    <w:rsid w:val="00286ACD"/>
    <w:rsid w:val="00287838"/>
    <w:rsid w:val="002907B5"/>
    <w:rsid w:val="00292EB7"/>
    <w:rsid w:val="00296227"/>
    <w:rsid w:val="00296486"/>
    <w:rsid w:val="00296F44"/>
    <w:rsid w:val="0029777D"/>
    <w:rsid w:val="002A055E"/>
    <w:rsid w:val="002A1D4E"/>
    <w:rsid w:val="002A2869"/>
    <w:rsid w:val="002B24D6"/>
    <w:rsid w:val="002B283D"/>
    <w:rsid w:val="002B64CF"/>
    <w:rsid w:val="002C41E6"/>
    <w:rsid w:val="002D071A"/>
    <w:rsid w:val="002D34B2"/>
    <w:rsid w:val="002D7637"/>
    <w:rsid w:val="002D7E90"/>
    <w:rsid w:val="002E17F2"/>
    <w:rsid w:val="002E7CAE"/>
    <w:rsid w:val="002F2771"/>
    <w:rsid w:val="002F37A9"/>
    <w:rsid w:val="00301623"/>
    <w:rsid w:val="00301CE6"/>
    <w:rsid w:val="0030256B"/>
    <w:rsid w:val="00304E7A"/>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943"/>
    <w:rsid w:val="00370E47"/>
    <w:rsid w:val="003742AC"/>
    <w:rsid w:val="00377CE1"/>
    <w:rsid w:val="00385BF0"/>
    <w:rsid w:val="003939FF"/>
    <w:rsid w:val="00397F5B"/>
    <w:rsid w:val="003A2223"/>
    <w:rsid w:val="003A2A0F"/>
    <w:rsid w:val="003A45A1"/>
    <w:rsid w:val="003A5B0A"/>
    <w:rsid w:val="003A6BAC"/>
    <w:rsid w:val="003A7EF3"/>
    <w:rsid w:val="003B0731"/>
    <w:rsid w:val="003B159C"/>
    <w:rsid w:val="003B369F"/>
    <w:rsid w:val="003B36A3"/>
    <w:rsid w:val="003B460B"/>
    <w:rsid w:val="003B7FE5"/>
    <w:rsid w:val="003C11C8"/>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550E"/>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41E"/>
    <w:rsid w:val="00436AE5"/>
    <w:rsid w:val="00437447"/>
    <w:rsid w:val="00441A92"/>
    <w:rsid w:val="00442F04"/>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10C0"/>
    <w:rsid w:val="004D36B1"/>
    <w:rsid w:val="004D73EE"/>
    <w:rsid w:val="004D7EBD"/>
    <w:rsid w:val="004E2680"/>
    <w:rsid w:val="004E28F9"/>
    <w:rsid w:val="004E462E"/>
    <w:rsid w:val="004E56DC"/>
    <w:rsid w:val="004E76F4"/>
    <w:rsid w:val="004F0B4E"/>
    <w:rsid w:val="004F0B6C"/>
    <w:rsid w:val="004F2078"/>
    <w:rsid w:val="004F2C41"/>
    <w:rsid w:val="004F4DA3"/>
    <w:rsid w:val="00500435"/>
    <w:rsid w:val="005022A7"/>
    <w:rsid w:val="0050494F"/>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612AB"/>
    <w:rsid w:val="005638A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05EC"/>
    <w:rsid w:val="005F0B7A"/>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12E"/>
    <w:rsid w:val="00656A92"/>
    <w:rsid w:val="00656DDE"/>
    <w:rsid w:val="0066011D"/>
    <w:rsid w:val="006607C0"/>
    <w:rsid w:val="006613A6"/>
    <w:rsid w:val="006627A2"/>
    <w:rsid w:val="006634E6"/>
    <w:rsid w:val="006655EE"/>
    <w:rsid w:val="00665EE9"/>
    <w:rsid w:val="00667EE7"/>
    <w:rsid w:val="00670922"/>
    <w:rsid w:val="00670BE1"/>
    <w:rsid w:val="0067218F"/>
    <w:rsid w:val="00673108"/>
    <w:rsid w:val="006741F2"/>
    <w:rsid w:val="00674CC3"/>
    <w:rsid w:val="00675C72"/>
    <w:rsid w:val="006771F9"/>
    <w:rsid w:val="006776D7"/>
    <w:rsid w:val="00681003"/>
    <w:rsid w:val="006817C9"/>
    <w:rsid w:val="00683ECE"/>
    <w:rsid w:val="00692484"/>
    <w:rsid w:val="00695FC2"/>
    <w:rsid w:val="00696949"/>
    <w:rsid w:val="00697052"/>
    <w:rsid w:val="006A08B9"/>
    <w:rsid w:val="006A46FB"/>
    <w:rsid w:val="006A5E28"/>
    <w:rsid w:val="006A697B"/>
    <w:rsid w:val="006A7AFF"/>
    <w:rsid w:val="006B1816"/>
    <w:rsid w:val="006B2099"/>
    <w:rsid w:val="006B50CF"/>
    <w:rsid w:val="006C03B8"/>
    <w:rsid w:val="006C22C9"/>
    <w:rsid w:val="006C54E9"/>
    <w:rsid w:val="006C5EC9"/>
    <w:rsid w:val="006C6059"/>
    <w:rsid w:val="006C70DD"/>
    <w:rsid w:val="006C7522"/>
    <w:rsid w:val="006D0FB3"/>
    <w:rsid w:val="006D4FC3"/>
    <w:rsid w:val="006D6F08"/>
    <w:rsid w:val="006E062C"/>
    <w:rsid w:val="006E28B7"/>
    <w:rsid w:val="006E3310"/>
    <w:rsid w:val="006E4E39"/>
    <w:rsid w:val="006E565E"/>
    <w:rsid w:val="006E5E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2423"/>
    <w:rsid w:val="007348B1"/>
    <w:rsid w:val="007362A6"/>
    <w:rsid w:val="00736D7D"/>
    <w:rsid w:val="00740B46"/>
    <w:rsid w:val="00740E58"/>
    <w:rsid w:val="007445A0"/>
    <w:rsid w:val="0074524B"/>
    <w:rsid w:val="00747D8B"/>
    <w:rsid w:val="00751228"/>
    <w:rsid w:val="007571E1"/>
    <w:rsid w:val="007604B2"/>
    <w:rsid w:val="00765281"/>
    <w:rsid w:val="0076693F"/>
    <w:rsid w:val="00766BAD"/>
    <w:rsid w:val="00767ED4"/>
    <w:rsid w:val="007730BD"/>
    <w:rsid w:val="007755F2"/>
    <w:rsid w:val="00775EF1"/>
    <w:rsid w:val="00776971"/>
    <w:rsid w:val="0078177E"/>
    <w:rsid w:val="0078304C"/>
    <w:rsid w:val="00783673"/>
    <w:rsid w:val="00785490"/>
    <w:rsid w:val="007877ED"/>
    <w:rsid w:val="00787AFF"/>
    <w:rsid w:val="007925EA"/>
    <w:rsid w:val="00793CD8"/>
    <w:rsid w:val="00795C92"/>
    <w:rsid w:val="00796231"/>
    <w:rsid w:val="007A1084"/>
    <w:rsid w:val="007A1CB3"/>
    <w:rsid w:val="007A306F"/>
    <w:rsid w:val="007A43A6"/>
    <w:rsid w:val="007A58A6"/>
    <w:rsid w:val="007B1347"/>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3C83"/>
    <w:rsid w:val="008158D6"/>
    <w:rsid w:val="00817196"/>
    <w:rsid w:val="008235DB"/>
    <w:rsid w:val="00824AB4"/>
    <w:rsid w:val="00825C42"/>
    <w:rsid w:val="00825D25"/>
    <w:rsid w:val="00827D6F"/>
    <w:rsid w:val="00831AD8"/>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17B1"/>
    <w:rsid w:val="0089486E"/>
    <w:rsid w:val="00894A88"/>
    <w:rsid w:val="00895386"/>
    <w:rsid w:val="008A21FF"/>
    <w:rsid w:val="008A2CE2"/>
    <w:rsid w:val="008A30AC"/>
    <w:rsid w:val="008A44B8"/>
    <w:rsid w:val="008A51A8"/>
    <w:rsid w:val="008A54C7"/>
    <w:rsid w:val="008A77D8"/>
    <w:rsid w:val="008B0483"/>
    <w:rsid w:val="008B120C"/>
    <w:rsid w:val="008B2EA6"/>
    <w:rsid w:val="008B51A0"/>
    <w:rsid w:val="008B592A"/>
    <w:rsid w:val="008B7B5C"/>
    <w:rsid w:val="008C0C99"/>
    <w:rsid w:val="008C0E51"/>
    <w:rsid w:val="008C2017"/>
    <w:rsid w:val="008C4958"/>
    <w:rsid w:val="008C4BAA"/>
    <w:rsid w:val="008C6AE8"/>
    <w:rsid w:val="008C7573"/>
    <w:rsid w:val="008D34F1"/>
    <w:rsid w:val="008D39D8"/>
    <w:rsid w:val="008D4BEB"/>
    <w:rsid w:val="008D6D1A"/>
    <w:rsid w:val="008E065E"/>
    <w:rsid w:val="008E0927"/>
    <w:rsid w:val="008E1909"/>
    <w:rsid w:val="008E7D4F"/>
    <w:rsid w:val="008F1EAB"/>
    <w:rsid w:val="008F33DC"/>
    <w:rsid w:val="008F477F"/>
    <w:rsid w:val="00902350"/>
    <w:rsid w:val="0090336B"/>
    <w:rsid w:val="00903E78"/>
    <w:rsid w:val="009053AA"/>
    <w:rsid w:val="00906939"/>
    <w:rsid w:val="00907CEF"/>
    <w:rsid w:val="00910B7D"/>
    <w:rsid w:val="00911DFB"/>
    <w:rsid w:val="009132F7"/>
    <w:rsid w:val="009139D9"/>
    <w:rsid w:val="00914AD8"/>
    <w:rsid w:val="00914DB8"/>
    <w:rsid w:val="00915959"/>
    <w:rsid w:val="00916079"/>
    <w:rsid w:val="00917CE9"/>
    <w:rsid w:val="00920BF2"/>
    <w:rsid w:val="00922010"/>
    <w:rsid w:val="009247CB"/>
    <w:rsid w:val="00931BD9"/>
    <w:rsid w:val="0093626F"/>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50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A55"/>
    <w:rsid w:val="009E35DB"/>
    <w:rsid w:val="009E47A3"/>
    <w:rsid w:val="009F08F3"/>
    <w:rsid w:val="009F344F"/>
    <w:rsid w:val="009F3970"/>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1F8C"/>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31B"/>
    <w:rsid w:val="00AA7717"/>
    <w:rsid w:val="00AB0BC8"/>
    <w:rsid w:val="00AB11CA"/>
    <w:rsid w:val="00AB14D9"/>
    <w:rsid w:val="00AB4AB8"/>
    <w:rsid w:val="00AB655E"/>
    <w:rsid w:val="00AB6D66"/>
    <w:rsid w:val="00AC007F"/>
    <w:rsid w:val="00AC2ECD"/>
    <w:rsid w:val="00AC3119"/>
    <w:rsid w:val="00AC49FB"/>
    <w:rsid w:val="00AC5A10"/>
    <w:rsid w:val="00AD020A"/>
    <w:rsid w:val="00AD0AA3"/>
    <w:rsid w:val="00AD3F94"/>
    <w:rsid w:val="00AD4A5A"/>
    <w:rsid w:val="00AE27AC"/>
    <w:rsid w:val="00AE3743"/>
    <w:rsid w:val="00AE40E0"/>
    <w:rsid w:val="00AE4DBA"/>
    <w:rsid w:val="00AE4F07"/>
    <w:rsid w:val="00AF1C5D"/>
    <w:rsid w:val="00AF42D7"/>
    <w:rsid w:val="00AF6E8B"/>
    <w:rsid w:val="00B006FE"/>
    <w:rsid w:val="00B007CB"/>
    <w:rsid w:val="00B02AA9"/>
    <w:rsid w:val="00B02FA3"/>
    <w:rsid w:val="00B05084"/>
    <w:rsid w:val="00B157F9"/>
    <w:rsid w:val="00B20256"/>
    <w:rsid w:val="00B20D09"/>
    <w:rsid w:val="00B2117D"/>
    <w:rsid w:val="00B2763F"/>
    <w:rsid w:val="00B27AAC"/>
    <w:rsid w:val="00B30929"/>
    <w:rsid w:val="00B35331"/>
    <w:rsid w:val="00B3561F"/>
    <w:rsid w:val="00B372AA"/>
    <w:rsid w:val="00B40445"/>
    <w:rsid w:val="00B41888"/>
    <w:rsid w:val="00B45A52"/>
    <w:rsid w:val="00B46175"/>
    <w:rsid w:val="00B6188F"/>
    <w:rsid w:val="00B639E2"/>
    <w:rsid w:val="00B664C7"/>
    <w:rsid w:val="00B739F6"/>
    <w:rsid w:val="00B81A6C"/>
    <w:rsid w:val="00B85DE5"/>
    <w:rsid w:val="00B9075F"/>
    <w:rsid w:val="00B90F73"/>
    <w:rsid w:val="00B93B59"/>
    <w:rsid w:val="00B9406A"/>
    <w:rsid w:val="00BA00E8"/>
    <w:rsid w:val="00BA2280"/>
    <w:rsid w:val="00BA2A08"/>
    <w:rsid w:val="00BA4322"/>
    <w:rsid w:val="00BA45A0"/>
    <w:rsid w:val="00BA56D2"/>
    <w:rsid w:val="00BA76E0"/>
    <w:rsid w:val="00BB2A25"/>
    <w:rsid w:val="00BB51E9"/>
    <w:rsid w:val="00BB7487"/>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4AC4"/>
    <w:rsid w:val="00C279B5"/>
    <w:rsid w:val="00C27C45"/>
    <w:rsid w:val="00C3719D"/>
    <w:rsid w:val="00C37B31"/>
    <w:rsid w:val="00C45737"/>
    <w:rsid w:val="00C46B8F"/>
    <w:rsid w:val="00C54995"/>
    <w:rsid w:val="00C54D41"/>
    <w:rsid w:val="00C60783"/>
    <w:rsid w:val="00C64672"/>
    <w:rsid w:val="00C70697"/>
    <w:rsid w:val="00C72EF4"/>
    <w:rsid w:val="00C75D2F"/>
    <w:rsid w:val="00C767BE"/>
    <w:rsid w:val="00C76E3C"/>
    <w:rsid w:val="00C81568"/>
    <w:rsid w:val="00C860F5"/>
    <w:rsid w:val="00C8642A"/>
    <w:rsid w:val="00C9027A"/>
    <w:rsid w:val="00C9068E"/>
    <w:rsid w:val="00C93C4B"/>
    <w:rsid w:val="00C944AB"/>
    <w:rsid w:val="00C95B40"/>
    <w:rsid w:val="00CA1ED8"/>
    <w:rsid w:val="00CB1F63"/>
    <w:rsid w:val="00CB7170"/>
    <w:rsid w:val="00CC040E"/>
    <w:rsid w:val="00CC111F"/>
    <w:rsid w:val="00CC2011"/>
    <w:rsid w:val="00CC3EA0"/>
    <w:rsid w:val="00CC7B45"/>
    <w:rsid w:val="00CD01E1"/>
    <w:rsid w:val="00CD1188"/>
    <w:rsid w:val="00CD2ED1"/>
    <w:rsid w:val="00CD337B"/>
    <w:rsid w:val="00CE0424"/>
    <w:rsid w:val="00CE7561"/>
    <w:rsid w:val="00CF1354"/>
    <w:rsid w:val="00CF3B1F"/>
    <w:rsid w:val="00CF3BF6"/>
    <w:rsid w:val="00CF625B"/>
    <w:rsid w:val="00CF687E"/>
    <w:rsid w:val="00D01798"/>
    <w:rsid w:val="00D0349B"/>
    <w:rsid w:val="00D04014"/>
    <w:rsid w:val="00D10249"/>
    <w:rsid w:val="00D115C3"/>
    <w:rsid w:val="00D11897"/>
    <w:rsid w:val="00D13135"/>
    <w:rsid w:val="00D13E4E"/>
    <w:rsid w:val="00D239A7"/>
    <w:rsid w:val="00D23F47"/>
    <w:rsid w:val="00D30F34"/>
    <w:rsid w:val="00D36E71"/>
    <w:rsid w:val="00D37D87"/>
    <w:rsid w:val="00D40B33"/>
    <w:rsid w:val="00D4318F"/>
    <w:rsid w:val="00D438BF"/>
    <w:rsid w:val="00D440F8"/>
    <w:rsid w:val="00D47150"/>
    <w:rsid w:val="00D50F97"/>
    <w:rsid w:val="00D546FF"/>
    <w:rsid w:val="00D55AD5"/>
    <w:rsid w:val="00D576CA"/>
    <w:rsid w:val="00D61AF5"/>
    <w:rsid w:val="00D652B5"/>
    <w:rsid w:val="00D65C84"/>
    <w:rsid w:val="00D66155"/>
    <w:rsid w:val="00D708B0"/>
    <w:rsid w:val="00D77B1D"/>
    <w:rsid w:val="00D8021F"/>
    <w:rsid w:val="00D80383"/>
    <w:rsid w:val="00D80827"/>
    <w:rsid w:val="00D823C6"/>
    <w:rsid w:val="00D85BE1"/>
    <w:rsid w:val="00D86CA3"/>
    <w:rsid w:val="00D871CE"/>
    <w:rsid w:val="00D9196D"/>
    <w:rsid w:val="00D92982"/>
    <w:rsid w:val="00DA305E"/>
    <w:rsid w:val="00DA5417"/>
    <w:rsid w:val="00DA56E8"/>
    <w:rsid w:val="00DA6B82"/>
    <w:rsid w:val="00DB0A9F"/>
    <w:rsid w:val="00DB377D"/>
    <w:rsid w:val="00DC0298"/>
    <w:rsid w:val="00DC2D36"/>
    <w:rsid w:val="00DC53EF"/>
    <w:rsid w:val="00DE5608"/>
    <w:rsid w:val="00DE58D0"/>
    <w:rsid w:val="00DE654F"/>
    <w:rsid w:val="00DF0B6E"/>
    <w:rsid w:val="00DF15E0"/>
    <w:rsid w:val="00DF37A0"/>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91"/>
    <w:rsid w:val="00E446F1"/>
    <w:rsid w:val="00E46886"/>
    <w:rsid w:val="00E47AEF"/>
    <w:rsid w:val="00E53B75"/>
    <w:rsid w:val="00E54E3B"/>
    <w:rsid w:val="00E57565"/>
    <w:rsid w:val="00E63838"/>
    <w:rsid w:val="00E64434"/>
    <w:rsid w:val="00E64FBC"/>
    <w:rsid w:val="00E67C51"/>
    <w:rsid w:val="00E72EFC"/>
    <w:rsid w:val="00E758EC"/>
    <w:rsid w:val="00E8234C"/>
    <w:rsid w:val="00E83AA9"/>
    <w:rsid w:val="00E85928"/>
    <w:rsid w:val="00E865ED"/>
    <w:rsid w:val="00E87822"/>
    <w:rsid w:val="00E87BAE"/>
    <w:rsid w:val="00E90395"/>
    <w:rsid w:val="00E90E49"/>
    <w:rsid w:val="00E917F9"/>
    <w:rsid w:val="00E91B58"/>
    <w:rsid w:val="00E9291C"/>
    <w:rsid w:val="00E93FFE"/>
    <w:rsid w:val="00E94F8A"/>
    <w:rsid w:val="00EA7A41"/>
    <w:rsid w:val="00EB077B"/>
    <w:rsid w:val="00EB4EA2"/>
    <w:rsid w:val="00EC27C6"/>
    <w:rsid w:val="00EC4207"/>
    <w:rsid w:val="00EC4B7E"/>
    <w:rsid w:val="00EC5653"/>
    <w:rsid w:val="00EC71CE"/>
    <w:rsid w:val="00ED1006"/>
    <w:rsid w:val="00ED521A"/>
    <w:rsid w:val="00ED6462"/>
    <w:rsid w:val="00EF18FE"/>
    <w:rsid w:val="00EF2298"/>
    <w:rsid w:val="00EF5787"/>
    <w:rsid w:val="00EF60D0"/>
    <w:rsid w:val="00EF723F"/>
    <w:rsid w:val="00F0105F"/>
    <w:rsid w:val="00F0528D"/>
    <w:rsid w:val="00F06C67"/>
    <w:rsid w:val="00F06DFD"/>
    <w:rsid w:val="00F071D1"/>
    <w:rsid w:val="00F07533"/>
    <w:rsid w:val="00F07FE0"/>
    <w:rsid w:val="00F10629"/>
    <w:rsid w:val="00F15FA5"/>
    <w:rsid w:val="00F209B7"/>
    <w:rsid w:val="00F2376F"/>
    <w:rsid w:val="00F243D8"/>
    <w:rsid w:val="00F30828"/>
    <w:rsid w:val="00F313D6"/>
    <w:rsid w:val="00F33C80"/>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5C0F"/>
    <w:rsid w:val="00F76EFA"/>
    <w:rsid w:val="00F804BE"/>
    <w:rsid w:val="00F817CE"/>
    <w:rsid w:val="00F81CA1"/>
    <w:rsid w:val="00F8456C"/>
    <w:rsid w:val="00F859D8"/>
    <w:rsid w:val="00F868F5"/>
    <w:rsid w:val="00F9056A"/>
    <w:rsid w:val="00F90F8D"/>
    <w:rsid w:val="00F92782"/>
    <w:rsid w:val="00F93AA9"/>
    <w:rsid w:val="00F96985"/>
    <w:rsid w:val="00F97838"/>
    <w:rsid w:val="00FA2BB3"/>
    <w:rsid w:val="00FB4C80"/>
    <w:rsid w:val="00FB4FAE"/>
    <w:rsid w:val="00FB6A6A"/>
    <w:rsid w:val="00FC576D"/>
    <w:rsid w:val="00FC7429"/>
    <w:rsid w:val="00FD07F6"/>
    <w:rsid w:val="00FD1EC8"/>
    <w:rsid w:val="00FD47ED"/>
    <w:rsid w:val="00FD74DB"/>
    <w:rsid w:val="00FD7660"/>
    <w:rsid w:val="00FE0655"/>
    <w:rsid w:val="00FE2365"/>
    <w:rsid w:val="00FE4C7B"/>
    <w:rsid w:val="00FE7336"/>
    <w:rsid w:val="00FE787C"/>
    <w:rsid w:val="00FF307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6E8B"/>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AF6E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6E8B"/>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styleId="ListParagraph">
    <w:name w:val="List Paragraph"/>
    <w:basedOn w:val="Normal"/>
    <w:uiPriority w:val="34"/>
    <w:qFormat/>
    <w:rsid w:val="008E7D4F"/>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493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90A13-EED5-456B-AC29-FDDAF0872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1963</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2019-03-28T19:13:00Z</dcterms:created>
  <dcterms:modified xsi:type="dcterms:W3CDTF">2019-03-28T19:14:00Z</dcterms:modified>
</cp:coreProperties>
</file>